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3A1" w:rsidRDefault="00C273A1" w:rsidP="002B1E64">
      <w:pPr>
        <w:spacing w:after="0" w:line="240" w:lineRule="auto"/>
        <w:ind w:right="113"/>
        <w:jc w:val="both"/>
        <w:rPr>
          <w:rFonts w:ascii="Times New Roman" w:hAnsi="Times New Roman"/>
          <w:color w:val="FF0000"/>
          <w:sz w:val="20"/>
          <w:szCs w:val="20"/>
          <w:lang w:val="en-GB"/>
        </w:rPr>
      </w:pPr>
      <w:bookmarkStart w:id="0" w:name="_GoBack"/>
      <w:bookmarkEnd w:id="0"/>
    </w:p>
    <w:p w:rsidR="00C273A1" w:rsidRPr="00A0444D" w:rsidRDefault="00C273A1" w:rsidP="00155AE6">
      <w:pPr>
        <w:spacing w:after="0"/>
        <w:jc w:val="both"/>
        <w:rPr>
          <w:rFonts w:ascii="Times New Roman" w:hAnsi="Times New Roman"/>
          <w:b/>
          <w:sz w:val="20"/>
          <w:szCs w:val="20"/>
        </w:rPr>
      </w:pPr>
      <w:r w:rsidRPr="00A0444D">
        <w:rPr>
          <w:rFonts w:ascii="Times New Roman" w:hAnsi="Times New Roman"/>
          <w:b/>
          <w:color w:val="222222"/>
          <w:sz w:val="20"/>
          <w:szCs w:val="20"/>
          <w:shd w:val="clear" w:color="auto" w:fill="FFFFFF"/>
        </w:rPr>
        <w:t>Can the link between functional and personal income distribution enhance the analysis of inequality?</w:t>
      </w:r>
    </w:p>
    <w:p w:rsidR="00C273A1" w:rsidRPr="00A0444D" w:rsidRDefault="00C273A1" w:rsidP="00155AE6">
      <w:pPr>
        <w:spacing w:after="0"/>
        <w:jc w:val="both"/>
        <w:rPr>
          <w:rFonts w:ascii="Times New Roman" w:hAnsi="Times New Roman"/>
          <w:sz w:val="20"/>
          <w:szCs w:val="20"/>
          <w:lang w:val="it-IT"/>
        </w:rPr>
      </w:pPr>
      <w:r w:rsidRPr="00A0444D">
        <w:rPr>
          <w:rFonts w:ascii="Times New Roman" w:hAnsi="Times New Roman"/>
          <w:sz w:val="20"/>
          <w:szCs w:val="20"/>
          <w:lang w:val="it-IT"/>
        </w:rPr>
        <w:t xml:space="preserve">Marisa Civardi (marisa.civardi@unimib.it), Renata Targetti Lenti (targetti@unipv.it) </w:t>
      </w:r>
    </w:p>
    <w:p w:rsidR="00C273A1" w:rsidRDefault="00C273A1" w:rsidP="00155AE6">
      <w:pPr>
        <w:pStyle w:val="Default"/>
        <w:keepLines/>
        <w:widowControl w:val="0"/>
        <w:jc w:val="both"/>
        <w:rPr>
          <w:b/>
          <w:bCs/>
          <w:color w:val="auto"/>
          <w:sz w:val="20"/>
          <w:szCs w:val="20"/>
          <w:lang w:val="it-IT"/>
        </w:rPr>
      </w:pPr>
    </w:p>
    <w:p w:rsidR="00C273A1" w:rsidRPr="004229F7" w:rsidRDefault="00C273A1" w:rsidP="00155AE6">
      <w:pPr>
        <w:autoSpaceDE w:val="0"/>
        <w:autoSpaceDN w:val="0"/>
        <w:adjustRightInd w:val="0"/>
        <w:spacing w:after="0" w:line="240" w:lineRule="auto"/>
        <w:rPr>
          <w:rFonts w:ascii="Times New Roman" w:hAnsi="Times New Roman"/>
          <w:b/>
          <w:bCs/>
          <w:sz w:val="20"/>
          <w:szCs w:val="20"/>
          <w:lang w:val="en-IE" w:eastAsia="it-IT"/>
        </w:rPr>
      </w:pPr>
      <w:r w:rsidRPr="004229F7">
        <w:rPr>
          <w:rFonts w:ascii="Times New Roman" w:hAnsi="Times New Roman"/>
          <w:b/>
          <w:bCs/>
          <w:sz w:val="20"/>
          <w:szCs w:val="20"/>
          <w:lang w:val="en-IE" w:eastAsia="it-IT"/>
        </w:rPr>
        <w:t>Abstract</w:t>
      </w:r>
    </w:p>
    <w:p w:rsidR="00C273A1" w:rsidRPr="004229F7" w:rsidRDefault="00C273A1" w:rsidP="00155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4229F7">
        <w:rPr>
          <w:rFonts w:ascii="Times New Roman" w:hAnsi="Times New Roman"/>
          <w:sz w:val="20"/>
          <w:szCs w:val="20"/>
        </w:rPr>
        <w:t>Aim of the paper is to present a framework for linking</w:t>
      </w:r>
      <w:r w:rsidRPr="004229F7">
        <w:rPr>
          <w:rFonts w:ascii="Times New Roman" w:hAnsi="Times New Roman"/>
          <w:sz w:val="20"/>
          <w:szCs w:val="20"/>
          <w:lang w:val="en-IE"/>
        </w:rPr>
        <w:t xml:space="preserve"> the functional and the personal income distribution. </w:t>
      </w:r>
      <w:r w:rsidRPr="004229F7">
        <w:rPr>
          <w:rFonts w:ascii="Times New Roman" w:hAnsi="Times New Roman"/>
          <w:sz w:val="20"/>
          <w:szCs w:val="20"/>
        </w:rPr>
        <w:t xml:space="preserve">In the first part the </w:t>
      </w:r>
      <w:r w:rsidRPr="004229F7">
        <w:rPr>
          <w:rFonts w:ascii="Times New Roman" w:eastAsia="TimesNewRomanPSMT" w:hAnsi="Times New Roman"/>
          <w:sz w:val="20"/>
          <w:szCs w:val="20"/>
          <w:lang w:val="en-IE" w:eastAsia="it-IT"/>
        </w:rPr>
        <w:t>Piketty’s book “Capital in the XXI Century</w:t>
      </w:r>
      <w:r w:rsidRPr="00C242CB">
        <w:rPr>
          <w:rFonts w:ascii="Times New Roman" w:eastAsia="TimesNewRomanPSMT" w:hAnsi="Times New Roman"/>
          <w:sz w:val="20"/>
          <w:szCs w:val="20"/>
          <w:lang w:val="en-IE" w:eastAsia="it-IT"/>
        </w:rPr>
        <w:t xml:space="preserve">” </w:t>
      </w:r>
      <w:r w:rsidRPr="00C242CB">
        <w:rPr>
          <w:rFonts w:ascii="Times New Roman" w:hAnsi="Times New Roman"/>
          <w:sz w:val="20"/>
          <w:szCs w:val="20"/>
        </w:rPr>
        <w:t>is briefly r</w:t>
      </w:r>
      <w:r w:rsidRPr="004229F7">
        <w:rPr>
          <w:rFonts w:ascii="Times New Roman" w:hAnsi="Times New Roman"/>
          <w:sz w:val="20"/>
          <w:szCs w:val="20"/>
        </w:rPr>
        <w:t>eviewed.</w:t>
      </w:r>
      <w:r w:rsidRPr="004229F7">
        <w:rPr>
          <w:rFonts w:ascii="Times New Roman" w:eastAsia="TimesNewRomanPSMT" w:hAnsi="Times New Roman"/>
          <w:sz w:val="20"/>
          <w:szCs w:val="20"/>
          <w:lang w:val="en-IE" w:eastAsia="it-IT"/>
        </w:rPr>
        <w:t xml:space="preserve"> Piketty’s framework is discussed arguing that it can explain only partially level and changes within the personal income distribution. Piketty links in a very innovative way the returns from capital </w:t>
      </w:r>
      <w:r w:rsidRPr="004229F7">
        <w:rPr>
          <w:rFonts w:ascii="Times New Roman" w:hAnsi="Times New Roman"/>
          <w:i/>
          <w:iCs/>
          <w:sz w:val="20"/>
          <w:szCs w:val="20"/>
          <w:lang w:val="en-IE" w:eastAsia="it-IT"/>
        </w:rPr>
        <w:t xml:space="preserve">r </w:t>
      </w:r>
      <w:r w:rsidRPr="004229F7">
        <w:rPr>
          <w:rFonts w:ascii="Times New Roman" w:eastAsia="TimesNewRomanPSMT" w:hAnsi="Times New Roman"/>
          <w:sz w:val="20"/>
          <w:szCs w:val="20"/>
          <w:lang w:val="en-IE" w:eastAsia="it-IT"/>
        </w:rPr>
        <w:t xml:space="preserve">to the rate of growth of national income </w:t>
      </w:r>
      <w:r w:rsidRPr="004229F7">
        <w:rPr>
          <w:rFonts w:ascii="Times New Roman" w:hAnsi="Times New Roman"/>
          <w:i/>
          <w:iCs/>
          <w:sz w:val="20"/>
          <w:szCs w:val="20"/>
          <w:lang w:val="en-IE" w:eastAsia="it-IT"/>
        </w:rPr>
        <w:t xml:space="preserve">g </w:t>
      </w:r>
      <w:r w:rsidRPr="004229F7">
        <w:rPr>
          <w:rFonts w:ascii="Times New Roman" w:eastAsia="TimesNewRomanPSMT" w:hAnsi="Times New Roman"/>
          <w:sz w:val="20"/>
          <w:szCs w:val="20"/>
          <w:lang w:val="en-IE" w:eastAsia="it-IT"/>
        </w:rPr>
        <w:t>comparing them in a macroeconomic framework. He claims that when returns on capital rise more quickly than the overall economy and taxes on capital remain low, a vicious circle of ever-growing dynastic wealth and growing concentration of wealth takes place. However, the rise in the inequality of personal income distribution cannot be explained only by the rise of capital incomes. An analysis of the generation of personal incomes, and consequently of inequality, requires a suitable framework that links</w:t>
      </w:r>
      <w:r w:rsidRPr="004229F7">
        <w:rPr>
          <w:rFonts w:ascii="Times New Roman" w:hAnsi="Times New Roman"/>
          <w:sz w:val="20"/>
          <w:szCs w:val="20"/>
          <w:lang w:val="en-IE" w:eastAsia="it-IT"/>
        </w:rPr>
        <w:t xml:space="preserve"> incomes at the macroeconomic level (national accounts) and incomes at the level of the individual/household.</w:t>
      </w:r>
      <w:r w:rsidRPr="004229F7">
        <w:rPr>
          <w:rFonts w:ascii="Times New Roman" w:hAnsi="Times New Roman"/>
          <w:sz w:val="20"/>
          <w:szCs w:val="20"/>
          <w:lang w:val="en-GB"/>
        </w:rPr>
        <w:t xml:space="preserve"> It is possible </w:t>
      </w:r>
      <w:r w:rsidRPr="00C242CB">
        <w:rPr>
          <w:rFonts w:ascii="Times New Roman" w:hAnsi="Times New Roman"/>
          <w:sz w:val="20"/>
          <w:szCs w:val="20"/>
          <w:lang w:val="en-GB"/>
        </w:rPr>
        <w:t>to build</w:t>
      </w:r>
      <w:r w:rsidRPr="004229F7">
        <w:rPr>
          <w:rFonts w:ascii="Times New Roman" w:hAnsi="Times New Roman"/>
          <w:sz w:val="20"/>
          <w:szCs w:val="20"/>
          <w:lang w:val="en-GB"/>
        </w:rPr>
        <w:t xml:space="preserve"> this framework starting from the individual endowments and their links to the productive structure: that is from what it can be called the “generating function of personal income”.</w:t>
      </w:r>
      <w:r w:rsidRPr="004229F7">
        <w:rPr>
          <w:rFonts w:ascii="Times New Roman" w:hAnsi="Times New Roman"/>
          <w:sz w:val="20"/>
          <w:szCs w:val="20"/>
        </w:rPr>
        <w:t xml:space="preserve"> This function </w:t>
      </w:r>
      <w:r w:rsidRPr="004229F7">
        <w:rPr>
          <w:rFonts w:ascii="Times New Roman" w:hAnsi="Times New Roman"/>
          <w:snapToGrid w:val="0"/>
          <w:sz w:val="20"/>
          <w:szCs w:val="20"/>
          <w:lang w:val="en-GB"/>
        </w:rPr>
        <w:t xml:space="preserve">transforms personal endowments in personal earnings, given the productive structure, the technologies, and the market rules </w:t>
      </w:r>
      <w:r w:rsidRPr="004229F7">
        <w:rPr>
          <w:rStyle w:val="shorttext"/>
          <w:rFonts w:ascii="Times New Roman" w:hAnsi="Times New Roman"/>
          <w:sz w:val="20"/>
          <w:szCs w:val="20"/>
        </w:rPr>
        <w:t>that determine</w:t>
      </w:r>
      <w:r w:rsidRPr="004229F7">
        <w:rPr>
          <w:rFonts w:ascii="Times New Roman" w:hAnsi="Times New Roman"/>
          <w:snapToGrid w:val="0"/>
          <w:sz w:val="20"/>
          <w:szCs w:val="20"/>
          <w:lang w:val="en-GB"/>
        </w:rPr>
        <w:t xml:space="preserve"> the functional distribution. </w:t>
      </w:r>
      <w:r w:rsidRPr="004229F7">
        <w:rPr>
          <w:rFonts w:ascii="Times New Roman" w:hAnsi="Times New Roman"/>
          <w:sz w:val="20"/>
          <w:szCs w:val="20"/>
        </w:rPr>
        <w:t xml:space="preserve">The personal income distribution and its inequality are linked to the functional one, through the shares of capital and labor owned by each individual. </w:t>
      </w:r>
    </w:p>
    <w:p w:rsidR="00C273A1" w:rsidRPr="004229F7" w:rsidRDefault="00C273A1" w:rsidP="00155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shd w:val="clear" w:color="auto" w:fill="FFFFFF"/>
          <w:lang w:val="en-IE"/>
        </w:rPr>
      </w:pPr>
      <w:r w:rsidRPr="004229F7">
        <w:rPr>
          <w:rFonts w:ascii="Times New Roman" w:eastAsia="MS Mincho" w:hAnsi="Times New Roman"/>
          <w:sz w:val="20"/>
          <w:szCs w:val="20"/>
          <w:lang w:val="en-GB" w:eastAsia="ja-JP"/>
        </w:rPr>
        <w:t xml:space="preserve">The framework here </w:t>
      </w:r>
      <w:r w:rsidRPr="004229F7">
        <w:rPr>
          <w:rFonts w:ascii="Times New Roman" w:hAnsi="Times New Roman"/>
          <w:snapToGrid w:val="0"/>
          <w:sz w:val="20"/>
          <w:szCs w:val="20"/>
          <w:lang w:val="en-GB"/>
        </w:rPr>
        <w:t>introduced seems to be a</w:t>
      </w:r>
      <w:r w:rsidRPr="004229F7">
        <w:rPr>
          <w:rFonts w:ascii="Times New Roman" w:eastAsia="MS Mincho" w:hAnsi="Times New Roman"/>
          <w:sz w:val="20"/>
          <w:szCs w:val="20"/>
          <w:lang w:val="en-GB" w:eastAsia="ja-JP"/>
        </w:rPr>
        <w:t xml:space="preserve"> suitable tool for taking in account that </w:t>
      </w:r>
      <w:r w:rsidRPr="004229F7">
        <w:rPr>
          <w:rFonts w:ascii="Times New Roman" w:hAnsi="Times New Roman"/>
          <w:sz w:val="20"/>
          <w:szCs w:val="20"/>
          <w:lang w:val="en-GB"/>
        </w:rPr>
        <w:t xml:space="preserve">the personal income distribution is inextricably tied up with different </w:t>
      </w:r>
      <w:r w:rsidRPr="004229F7">
        <w:rPr>
          <w:rFonts w:ascii="Times New Roman" w:hAnsi="Times New Roman"/>
          <w:sz w:val="20"/>
          <w:szCs w:val="20"/>
          <w:lang w:val="en-IE"/>
        </w:rPr>
        <w:t xml:space="preserve">sources of inequality in the distribution of national income. Sources such as what comes from the </w:t>
      </w:r>
      <w:r w:rsidRPr="004229F7">
        <w:rPr>
          <w:rFonts w:ascii="Times New Roman" w:hAnsi="Times New Roman"/>
          <w:sz w:val="20"/>
          <w:szCs w:val="20"/>
          <w:lang w:val="en-GB"/>
        </w:rPr>
        <w:t xml:space="preserve">institutional and productive structures (matrix </w:t>
      </w:r>
      <w:r w:rsidRPr="004229F7">
        <w:rPr>
          <w:rFonts w:ascii="Times New Roman" w:hAnsi="Times New Roman"/>
          <w:b/>
          <w:sz w:val="20"/>
          <w:szCs w:val="20"/>
          <w:lang w:val="en-GB"/>
        </w:rPr>
        <w:t>Y</w:t>
      </w:r>
      <w:r w:rsidRPr="004229F7">
        <w:rPr>
          <w:rFonts w:ascii="Times New Roman" w:hAnsi="Times New Roman"/>
          <w:sz w:val="20"/>
          <w:szCs w:val="20"/>
          <w:lang w:val="en-GB"/>
        </w:rPr>
        <w:t xml:space="preserve">), but also what comes from the distribution of endowments and of individual/ household entitlements (matrix </w:t>
      </w:r>
      <w:r w:rsidRPr="004229F7">
        <w:rPr>
          <w:rFonts w:ascii="Times New Roman" w:hAnsi="Times New Roman"/>
          <w:b/>
          <w:sz w:val="20"/>
          <w:szCs w:val="20"/>
          <w:lang w:val="en-GB"/>
        </w:rPr>
        <w:t>S</w:t>
      </w:r>
      <w:r w:rsidRPr="004229F7">
        <w:rPr>
          <w:rFonts w:ascii="Times New Roman" w:hAnsi="Times New Roman"/>
          <w:sz w:val="20"/>
          <w:szCs w:val="20"/>
          <w:lang w:val="en-GB"/>
        </w:rPr>
        <w:t xml:space="preserve">). This approach, we argue, can allow assessing and evaluating </w:t>
      </w:r>
      <w:r w:rsidRPr="004229F7">
        <w:rPr>
          <w:rFonts w:ascii="Times New Roman" w:hAnsi="Times New Roman"/>
          <w:sz w:val="20"/>
          <w:szCs w:val="20"/>
        </w:rPr>
        <w:t>the effects of “ambitious new policies”, aimed to reducing poverty and inequality ex-ante, as suggested by Atkinson in his last book.</w:t>
      </w:r>
    </w:p>
    <w:p w:rsidR="00C273A1" w:rsidRPr="004229F7" w:rsidRDefault="00C273A1" w:rsidP="00155AE6">
      <w:pPr>
        <w:pStyle w:val="Default"/>
        <w:keepLines/>
        <w:widowControl w:val="0"/>
        <w:jc w:val="both"/>
        <w:rPr>
          <w:b/>
          <w:bCs/>
          <w:color w:val="auto"/>
          <w:sz w:val="20"/>
          <w:szCs w:val="20"/>
          <w:lang w:val="en-IE"/>
        </w:rPr>
      </w:pPr>
    </w:p>
    <w:p w:rsidR="00C273A1" w:rsidRPr="004229F7" w:rsidRDefault="00C273A1" w:rsidP="00155AE6">
      <w:pPr>
        <w:pStyle w:val="Default"/>
        <w:keepLines/>
        <w:widowControl w:val="0"/>
        <w:jc w:val="both"/>
        <w:rPr>
          <w:b/>
          <w:bCs/>
          <w:color w:val="auto"/>
          <w:sz w:val="20"/>
          <w:szCs w:val="20"/>
          <w:lang w:val="en-GB"/>
        </w:rPr>
      </w:pPr>
    </w:p>
    <w:p w:rsidR="00C273A1" w:rsidRPr="00A0444D" w:rsidRDefault="00C273A1" w:rsidP="00155AE6">
      <w:pPr>
        <w:pStyle w:val="Default"/>
        <w:keepLines/>
        <w:widowControl w:val="0"/>
        <w:jc w:val="both"/>
        <w:rPr>
          <w:color w:val="auto"/>
          <w:sz w:val="20"/>
          <w:szCs w:val="20"/>
          <w:lang w:val="en-GB"/>
        </w:rPr>
      </w:pPr>
      <w:r w:rsidRPr="00A0444D">
        <w:rPr>
          <w:b/>
          <w:bCs/>
          <w:color w:val="auto"/>
          <w:sz w:val="20"/>
          <w:szCs w:val="20"/>
          <w:lang w:val="en-GB"/>
        </w:rPr>
        <w:t xml:space="preserve">1. Introduction </w:t>
      </w:r>
    </w:p>
    <w:p w:rsidR="00C273A1" w:rsidRPr="00A0444D" w:rsidRDefault="00C273A1" w:rsidP="00155AE6">
      <w:pPr>
        <w:pStyle w:val="Default"/>
        <w:jc w:val="both"/>
        <w:rPr>
          <w:bCs/>
          <w:sz w:val="20"/>
          <w:szCs w:val="20"/>
          <w:lang w:val="en-GB"/>
        </w:rPr>
      </w:pPr>
      <w:r w:rsidRPr="00A0444D">
        <w:rPr>
          <w:bCs/>
          <w:sz w:val="20"/>
          <w:szCs w:val="20"/>
          <w:lang w:val="en-IE"/>
        </w:rPr>
        <w:t>I</w:t>
      </w:r>
      <w:r w:rsidRPr="00A0444D">
        <w:rPr>
          <w:bCs/>
          <w:sz w:val="20"/>
          <w:szCs w:val="20"/>
          <w:lang w:val="en-GB"/>
        </w:rPr>
        <w:t xml:space="preserve">nequality in income distribution has long been one of the major themes of economic and socio-political debate, but interest in this topic </w:t>
      </w:r>
      <w:r w:rsidRPr="00A0444D">
        <w:rPr>
          <w:bCs/>
          <w:color w:val="auto"/>
          <w:sz w:val="20"/>
          <w:szCs w:val="20"/>
          <w:lang w:val="en-GB"/>
        </w:rPr>
        <w:t>within</w:t>
      </w:r>
      <w:r w:rsidRPr="00A0444D">
        <w:rPr>
          <w:bCs/>
          <w:sz w:val="20"/>
          <w:szCs w:val="20"/>
          <w:lang w:val="en-GB"/>
        </w:rPr>
        <w:t xml:space="preserve"> the economic field has waned over time. </w:t>
      </w:r>
      <w:r w:rsidRPr="00A0444D">
        <w:rPr>
          <w:bCs/>
          <w:sz w:val="20"/>
          <w:szCs w:val="20"/>
        </w:rPr>
        <w:t xml:space="preserve">GDP per capita has been widely considered to be a satisfactory indicator of economic prosperity. </w:t>
      </w:r>
      <w:r w:rsidRPr="00A0444D">
        <w:rPr>
          <w:bCs/>
          <w:sz w:val="20"/>
          <w:szCs w:val="20"/>
          <w:lang w:val="en-GB"/>
        </w:rPr>
        <w:t xml:space="preserve">Having been rather neglected during the period of sustained economic growth in Western Europe and </w:t>
      </w:r>
      <w:smartTag w:uri="urn:schemas-microsoft-com:office:smarttags" w:element="place">
        <w:r w:rsidRPr="00A0444D">
          <w:rPr>
            <w:bCs/>
            <w:sz w:val="20"/>
            <w:szCs w:val="20"/>
            <w:lang w:val="en-GB"/>
          </w:rPr>
          <w:t>North America</w:t>
        </w:r>
      </w:smartTag>
      <w:r w:rsidRPr="00A0444D">
        <w:rPr>
          <w:bCs/>
          <w:sz w:val="20"/>
          <w:szCs w:val="20"/>
          <w:lang w:val="en-GB"/>
        </w:rPr>
        <w:t xml:space="preserve"> that followed the Second World War, the first two decades of the XXI century saw a resurgence in interest toward this issue. A very substantial body of research on inequality has been accumulated, building on the potential of improved data and focused on clarifying concepts and measures, capturing trends, and understanding the causal processes at work back and forth to the economy. The interest toward inequality in income distribution </w:t>
      </w:r>
      <w:r w:rsidRPr="00A0444D">
        <w:rPr>
          <w:bCs/>
          <w:color w:val="auto"/>
          <w:sz w:val="20"/>
          <w:szCs w:val="20"/>
          <w:lang w:val="en-GB"/>
        </w:rPr>
        <w:t>increased</w:t>
      </w:r>
      <w:r w:rsidRPr="00A0444D">
        <w:rPr>
          <w:bCs/>
          <w:sz w:val="20"/>
          <w:szCs w:val="20"/>
          <w:lang w:val="en-GB"/>
        </w:rPr>
        <w:t xml:space="preserve"> with the deterioration of social and economic conditions following globalization, financial crisis and unemployment.</w:t>
      </w:r>
      <w:r w:rsidRPr="00A0444D">
        <w:rPr>
          <w:bCs/>
          <w:sz w:val="20"/>
          <w:szCs w:val="20"/>
        </w:rPr>
        <w:t xml:space="preserve"> Inequality has </w:t>
      </w:r>
      <w:r w:rsidRPr="00A0444D">
        <w:rPr>
          <w:bCs/>
          <w:color w:val="auto"/>
          <w:sz w:val="20"/>
          <w:szCs w:val="20"/>
        </w:rPr>
        <w:t>now</w:t>
      </w:r>
      <w:r w:rsidRPr="00A0444D">
        <w:rPr>
          <w:bCs/>
          <w:color w:val="FF0000"/>
          <w:sz w:val="20"/>
          <w:szCs w:val="20"/>
        </w:rPr>
        <w:t xml:space="preserve"> </w:t>
      </w:r>
      <w:r w:rsidRPr="00A0444D">
        <w:rPr>
          <w:bCs/>
          <w:sz w:val="20"/>
          <w:szCs w:val="20"/>
        </w:rPr>
        <w:t>become the focus of remarkably wide-ranging attention, from International Institutions, Government Reports to, finally, also academic journals across a variety of disciplines.</w:t>
      </w:r>
      <w:r w:rsidRPr="00A0444D">
        <w:rPr>
          <w:sz w:val="20"/>
          <w:szCs w:val="20"/>
          <w:lang w:val="en-GB"/>
        </w:rPr>
        <w:t xml:space="preserve"> </w:t>
      </w:r>
      <w:r w:rsidRPr="00DC4112">
        <w:rPr>
          <w:sz w:val="20"/>
          <w:szCs w:val="20"/>
        </w:rPr>
        <w:t>As Tony Atkinson observed in a “pioneering” article (Atkinson, 1997), the</w:t>
      </w:r>
      <w:r w:rsidRPr="00DC4112">
        <w:rPr>
          <w:color w:val="8496B0"/>
          <w:sz w:val="20"/>
          <w:szCs w:val="20"/>
        </w:rPr>
        <w:t xml:space="preserve"> </w:t>
      </w:r>
      <w:r w:rsidRPr="00DC4112">
        <w:rPr>
          <w:sz w:val="20"/>
          <w:szCs w:val="20"/>
        </w:rPr>
        <w:t xml:space="preserve">personal income distribution has been brought “from the cold” only at the end of the </w:t>
      </w:r>
      <w:smartTag w:uri="urn:schemas-microsoft-com:office:smarttags" w:element="metricconverter">
        <w:smartTagPr>
          <w:attr w:name="ProductID" w:val="90’"/>
        </w:smartTagPr>
        <w:r w:rsidRPr="00DC4112">
          <w:rPr>
            <w:sz w:val="20"/>
            <w:szCs w:val="20"/>
          </w:rPr>
          <w:t>90’</w:t>
        </w:r>
      </w:smartTag>
      <w:r w:rsidRPr="00DC4112">
        <w:rPr>
          <w:sz w:val="20"/>
          <w:szCs w:val="20"/>
        </w:rPr>
        <w:t>.</w:t>
      </w:r>
    </w:p>
    <w:p w:rsidR="00C273A1" w:rsidRPr="00A0444D" w:rsidRDefault="00C273A1" w:rsidP="00155AE6">
      <w:pPr>
        <w:spacing w:after="0" w:line="240" w:lineRule="auto"/>
        <w:jc w:val="both"/>
        <w:rPr>
          <w:rFonts w:ascii="Times New Roman" w:hAnsi="Times New Roman"/>
          <w:sz w:val="20"/>
          <w:szCs w:val="20"/>
        </w:rPr>
      </w:pPr>
      <w:r w:rsidRPr="00A0444D">
        <w:rPr>
          <w:rFonts w:ascii="Times New Roman" w:hAnsi="Times New Roman"/>
          <w:sz w:val="20"/>
          <w:szCs w:val="20"/>
          <w:lang w:val="en-GB"/>
        </w:rPr>
        <w:t xml:space="preserve">The question is ‘why should economists “care’ about inequality’? </w:t>
      </w:r>
      <w:r w:rsidRPr="00A0444D">
        <w:rPr>
          <w:rFonts w:ascii="Times New Roman" w:hAnsi="Times New Roman"/>
          <w:bCs/>
          <w:noProof/>
          <w:sz w:val="20"/>
          <w:szCs w:val="20"/>
          <w:lang w:val="en-GB"/>
        </w:rPr>
        <w:t xml:space="preserve">Equity </w:t>
      </w:r>
      <w:r w:rsidRPr="00A0444D">
        <w:rPr>
          <w:rFonts w:ascii="Times New Roman" w:hAnsi="Times New Roman"/>
          <w:bCs/>
          <w:sz w:val="20"/>
          <w:szCs w:val="20"/>
          <w:lang w:val="en-GB"/>
        </w:rPr>
        <w:t xml:space="preserve">is a fundamental value in democracies. It is connected to the functioning of the economic system (Atkinson, 1997). </w:t>
      </w:r>
      <w:r w:rsidRPr="00A0444D">
        <w:rPr>
          <w:rFonts w:ascii="Times New Roman" w:hAnsi="Times New Roman"/>
          <w:sz w:val="20"/>
          <w:szCs w:val="20"/>
          <w:lang w:val="en-GB"/>
        </w:rPr>
        <w:t xml:space="preserve">Economic inequalities can be conceived of as the outcome of the underlying economic process which produce </w:t>
      </w:r>
      <w:r w:rsidRPr="00A0444D">
        <w:rPr>
          <w:rFonts w:ascii="Times New Roman" w:hAnsi="Times New Roman"/>
          <w:bCs/>
          <w:sz w:val="20"/>
          <w:szCs w:val="20"/>
          <w:lang w:val="en-GB"/>
        </w:rPr>
        <w:t>some other economic effects</w:t>
      </w:r>
      <w:r w:rsidRPr="00A0444D">
        <w:rPr>
          <w:rFonts w:ascii="Times New Roman" w:hAnsi="Times New Roman"/>
          <w:sz w:val="20"/>
          <w:szCs w:val="20"/>
          <w:lang w:val="en-GB"/>
        </w:rPr>
        <w:t xml:space="preserve">. Individual differences provide </w:t>
      </w:r>
      <w:r w:rsidRPr="00A0444D">
        <w:rPr>
          <w:rFonts w:ascii="Times New Roman" w:hAnsi="Times New Roman"/>
          <w:bCs/>
          <w:sz w:val="20"/>
          <w:szCs w:val="20"/>
          <w:lang w:val="en-GB"/>
        </w:rPr>
        <w:t>behavioural incentives to work, save, or take an entrepreneurial risk</w:t>
      </w:r>
      <w:r w:rsidRPr="00A0444D">
        <w:rPr>
          <w:rFonts w:ascii="Times New Roman" w:hAnsi="Times New Roman"/>
          <w:sz w:val="20"/>
          <w:szCs w:val="20"/>
          <w:lang w:val="en-GB"/>
        </w:rPr>
        <w:t xml:space="preserve">. Inequalities tend to be self-enforcing and self-sustaining. Inequality in one respect or for one group may hang together with equality in another respect or for other groups. Linkages and effects amongst and between inequalities are not necessarily obvious and their revealing requires analytical effort. </w:t>
      </w:r>
    </w:p>
    <w:p w:rsidR="00C273A1" w:rsidRDefault="00C273A1" w:rsidP="00155AE6">
      <w:pPr>
        <w:pStyle w:val="PreformattatoHTML"/>
        <w:jc w:val="both"/>
        <w:rPr>
          <w:rFonts w:ascii="Times New Roman" w:hAnsi="Times New Roman" w:cs="Times New Roman"/>
        </w:rPr>
      </w:pPr>
      <w:r w:rsidRPr="00A0444D">
        <w:rPr>
          <w:rFonts w:ascii="Times New Roman" w:hAnsi="Times New Roman" w:cs="Times New Roman"/>
          <w:lang w:val="en-GB"/>
        </w:rPr>
        <w:t xml:space="preserve">More recently, considerable attention has been paid to the ways in which higher inequality could act as an obstacle to growth. Social protection and the Welfare State more broadly (e.g. via education and health care) can potentially provide an environment that stimulate rather than undermines economic growth. Even more </w:t>
      </w:r>
      <w:r w:rsidRPr="00DC4112">
        <w:rPr>
          <w:rFonts w:ascii="Times New Roman" w:hAnsi="Times New Roman" w:cs="Times New Roman"/>
          <w:lang w:val="en-GB"/>
        </w:rPr>
        <w:t>important it</w:t>
      </w:r>
      <w:r>
        <w:rPr>
          <w:rFonts w:ascii="Times New Roman" w:hAnsi="Times New Roman" w:cs="Times New Roman"/>
          <w:lang w:val="en-GB"/>
        </w:rPr>
        <w:t xml:space="preserve"> </w:t>
      </w:r>
      <w:r w:rsidRPr="00A0444D">
        <w:rPr>
          <w:rFonts w:ascii="Times New Roman" w:hAnsi="Times New Roman" w:cs="Times New Roman"/>
          <w:lang w:val="en-GB"/>
        </w:rPr>
        <w:t xml:space="preserve">is the understanding that </w:t>
      </w:r>
      <w:r w:rsidRPr="00A0444D">
        <w:rPr>
          <w:rFonts w:ascii="Times New Roman" w:hAnsi="Times New Roman" w:cs="Times New Roman"/>
          <w:bCs/>
          <w:lang w:val="en-GB"/>
        </w:rPr>
        <w:t xml:space="preserve">policies might improve both equity and efficiency simultaneously </w:t>
      </w:r>
      <w:r w:rsidRPr="00A0444D">
        <w:rPr>
          <w:rFonts w:ascii="Times New Roman" w:hAnsi="Times New Roman" w:cs="Times New Roman"/>
          <w:lang w:val="en-GB"/>
        </w:rPr>
        <w:t xml:space="preserve">and avoid the trade-off between them. Special attention has been paid to the </w:t>
      </w:r>
      <w:r w:rsidRPr="00A0444D">
        <w:rPr>
          <w:rFonts w:ascii="Times New Roman" w:hAnsi="Times New Roman" w:cs="Times New Roman"/>
          <w:bCs/>
          <w:lang w:val="en-GB"/>
        </w:rPr>
        <w:t>role of Institutions</w:t>
      </w:r>
      <w:r w:rsidRPr="00A0444D">
        <w:rPr>
          <w:rFonts w:ascii="Times New Roman" w:hAnsi="Times New Roman" w:cs="Times New Roman"/>
          <w:lang w:val="en-GB"/>
        </w:rPr>
        <w:t>. Differences in institutions and policies are likely to play an important role in explaining the different levels and trends of wage and</w:t>
      </w:r>
      <w:r>
        <w:rPr>
          <w:rFonts w:ascii="Times New Roman" w:hAnsi="Times New Roman" w:cs="Times New Roman"/>
          <w:lang w:val="en-GB"/>
        </w:rPr>
        <w:t xml:space="preserve"> </w:t>
      </w:r>
      <w:r w:rsidRPr="00A8148C">
        <w:rPr>
          <w:rFonts w:ascii="Times New Roman" w:hAnsi="Times New Roman" w:cs="Times New Roman"/>
          <w:lang w:val="en-GB"/>
        </w:rPr>
        <w:t>capital</w:t>
      </w:r>
      <w:r w:rsidRPr="00A0444D">
        <w:rPr>
          <w:rFonts w:ascii="Times New Roman" w:hAnsi="Times New Roman" w:cs="Times New Roman"/>
          <w:lang w:val="en-GB"/>
        </w:rPr>
        <w:t xml:space="preserve"> income inequality across countries. </w:t>
      </w:r>
      <w:r w:rsidRPr="00296264">
        <w:rPr>
          <w:rFonts w:ascii="Times New Roman" w:hAnsi="Times New Roman" w:cs="Times New Roman"/>
        </w:rPr>
        <w:t xml:space="preserve">Inequality in the income distribution into industrialized countries is very high and increasing with the rise of </w:t>
      </w:r>
      <w:r w:rsidRPr="00DC4112">
        <w:rPr>
          <w:rFonts w:ascii="Times New Roman" w:hAnsi="Times New Roman" w:cs="Times New Roman"/>
        </w:rPr>
        <w:t>per-capita income</w:t>
      </w:r>
      <w:r w:rsidRPr="00296264">
        <w:rPr>
          <w:rFonts w:ascii="Times New Roman" w:hAnsi="Times New Roman" w:cs="Times New Roman"/>
        </w:rPr>
        <w:t>. A forty-year trend of increasing inequality, common to many advanced economies, deserves the search of forces which are deeply rooted “within modern industrial capitalism” (Solow, 2014, p.2). Growing inequality bring to discuss some issues as how</w:t>
      </w:r>
      <w:r w:rsidRPr="00296264">
        <w:rPr>
          <w:rFonts w:ascii="Times New Roman" w:hAnsi="Times New Roman" w:cs="Times New Roman"/>
          <w:color w:val="FF0000"/>
        </w:rPr>
        <w:t xml:space="preserve"> </w:t>
      </w:r>
      <w:r w:rsidRPr="00A8148C">
        <w:rPr>
          <w:rFonts w:ascii="Times New Roman" w:hAnsi="Times New Roman" w:cs="Times New Roman"/>
        </w:rPr>
        <w:t xml:space="preserve">different sources of </w:t>
      </w:r>
      <w:r w:rsidRPr="00296264">
        <w:rPr>
          <w:rFonts w:ascii="Times New Roman" w:hAnsi="Times New Roman" w:cs="Times New Roman"/>
        </w:rPr>
        <w:t xml:space="preserve">inequality can be analyzed and what set of concrete proposals </w:t>
      </w:r>
      <w:r w:rsidRPr="00296264">
        <w:rPr>
          <w:rFonts w:ascii="Times New Roman" w:hAnsi="Times New Roman" w:cs="Times New Roman"/>
        </w:rPr>
        <w:lastRenderedPageBreak/>
        <w:t xml:space="preserve">aimed at reducing it can be put forward. We can find </w:t>
      </w:r>
      <w:r w:rsidRPr="00A8148C">
        <w:rPr>
          <w:rFonts w:ascii="Times New Roman" w:hAnsi="Times New Roman" w:cs="Times New Roman"/>
        </w:rPr>
        <w:t>some</w:t>
      </w:r>
      <w:r w:rsidRPr="00296264">
        <w:rPr>
          <w:rFonts w:ascii="Times New Roman" w:hAnsi="Times New Roman" w:cs="Times New Roman"/>
          <w:color w:val="FF0000"/>
        </w:rPr>
        <w:t xml:space="preserve"> </w:t>
      </w:r>
      <w:r w:rsidRPr="00296264">
        <w:rPr>
          <w:rFonts w:ascii="Times New Roman" w:hAnsi="Times New Roman" w:cs="Times New Roman"/>
        </w:rPr>
        <w:t xml:space="preserve">answers and proposals in two recent books: Piketty’s "Capital in the Twenty-First Century” (2014a) and Atkinson’s “Inequality. What can be done?” (2015). </w:t>
      </w:r>
    </w:p>
    <w:p w:rsidR="00C273A1" w:rsidRDefault="00C273A1" w:rsidP="00155AE6">
      <w:pPr>
        <w:pStyle w:val="Default"/>
        <w:jc w:val="both"/>
        <w:rPr>
          <w:color w:val="auto"/>
          <w:sz w:val="20"/>
          <w:szCs w:val="20"/>
        </w:rPr>
      </w:pPr>
      <w:r w:rsidRPr="00296264">
        <w:rPr>
          <w:sz w:val="20"/>
          <w:szCs w:val="20"/>
        </w:rPr>
        <w:t xml:space="preserve">Piketty’s work is an impressive empirical research on inequality and on its persistence over time, </w:t>
      </w:r>
      <w:r w:rsidRPr="00A0444D">
        <w:rPr>
          <w:sz w:val="20"/>
          <w:szCs w:val="20"/>
        </w:rPr>
        <w:t>with particular reference to the "sustainability" of capitalist systems in which inequality is increasing. An empirical analysis of inequality in wealth’s and income’s distribution, in the long run, was never been made before Piketty</w:t>
      </w:r>
      <w:r>
        <w:rPr>
          <w:sz w:val="20"/>
          <w:szCs w:val="20"/>
        </w:rPr>
        <w:t xml:space="preserve">’s book (Piketty, 2014a, 2014b). </w:t>
      </w:r>
      <w:r w:rsidRPr="003C3A49">
        <w:rPr>
          <w:color w:val="auto"/>
          <w:sz w:val="20"/>
          <w:szCs w:val="20"/>
        </w:rPr>
        <w:t xml:space="preserve">Therefore, it </w:t>
      </w:r>
      <w:r w:rsidRPr="00A0444D">
        <w:rPr>
          <w:sz w:val="20"/>
          <w:szCs w:val="20"/>
        </w:rPr>
        <w:t>has already allowed, and will allow in the future, to promote a very rich and innovative debate</w:t>
      </w:r>
      <w:r w:rsidRPr="00DC4112">
        <w:rPr>
          <w:sz w:val="20"/>
          <w:szCs w:val="20"/>
        </w:rPr>
        <w:t xml:space="preserve">. </w:t>
      </w:r>
      <w:r w:rsidRPr="00DC4112">
        <w:rPr>
          <w:color w:val="auto"/>
          <w:sz w:val="20"/>
          <w:szCs w:val="20"/>
        </w:rPr>
        <w:t>“P</w:t>
      </w:r>
      <w:r w:rsidRPr="00DC4112">
        <w:rPr>
          <w:rFonts w:eastAsia="TimesNewRomanPSMT"/>
          <w:color w:val="auto"/>
          <w:sz w:val="20"/>
          <w:szCs w:val="20"/>
          <w:lang w:val="en-IE" w:eastAsia="it-IT"/>
        </w:rPr>
        <w:t>ost</w:t>
      </w:r>
      <w:r w:rsidRPr="002D0E9B">
        <w:rPr>
          <w:rFonts w:eastAsia="TimesNewRomanPSMT"/>
          <w:color w:val="auto"/>
          <w:sz w:val="20"/>
          <w:szCs w:val="20"/>
          <w:lang w:val="en-IE" w:eastAsia="it-IT"/>
        </w:rPr>
        <w:t>-Piketty, the public-intellectual debate over inequality, economic policy, and equitable growth ought to focus differently” argue in the Introduction the editors of “</w:t>
      </w:r>
      <w:r w:rsidRPr="002D0E9B">
        <w:rPr>
          <w:color w:val="auto"/>
          <w:sz w:val="20"/>
          <w:szCs w:val="20"/>
          <w:lang w:val="en-IE" w:eastAsia="it-IT"/>
        </w:rPr>
        <w:t>After Piketty: the agenda for economics and inequality” (</w:t>
      </w:r>
      <w:r w:rsidRPr="002D0E9B">
        <w:rPr>
          <w:rFonts w:eastAsia="Arial Unicode MS"/>
          <w:color w:val="auto"/>
          <w:sz w:val="20"/>
          <w:szCs w:val="20"/>
          <w:lang w:val="en-IE" w:eastAsia="it-IT"/>
        </w:rPr>
        <w:t xml:space="preserve">Boushey et. al, 2017, p.1) </w:t>
      </w:r>
      <w:r w:rsidRPr="002D0E9B">
        <w:rPr>
          <w:rFonts w:eastAsia="TimesNewRomanPSMT"/>
          <w:color w:val="auto"/>
          <w:sz w:val="20"/>
          <w:szCs w:val="20"/>
          <w:lang w:val="en-IE" w:eastAsia="it-IT"/>
        </w:rPr>
        <w:t xml:space="preserve">a very recent book collecting essays from economists and sociologist. </w:t>
      </w:r>
      <w:r w:rsidRPr="002D0E9B">
        <w:rPr>
          <w:color w:val="auto"/>
          <w:sz w:val="20"/>
          <w:szCs w:val="20"/>
        </w:rPr>
        <w:t xml:space="preserve">In the "Capital in the Twenty-First Century” and in the many reviews, comments and critics that followed its publication are packed so many topics, insights, comments and observations that affect almost any sphere of economics, </w:t>
      </w:r>
      <w:r w:rsidRPr="00545808">
        <w:rPr>
          <w:color w:val="auto"/>
          <w:sz w:val="20"/>
          <w:szCs w:val="20"/>
        </w:rPr>
        <w:t>so that</w:t>
      </w:r>
      <w:r w:rsidRPr="002D0E9B">
        <w:rPr>
          <w:color w:val="auto"/>
          <w:sz w:val="20"/>
          <w:szCs w:val="20"/>
        </w:rPr>
        <w:t xml:space="preserve"> no </w:t>
      </w:r>
      <w:r w:rsidRPr="00DC4112">
        <w:rPr>
          <w:color w:val="auto"/>
          <w:sz w:val="20"/>
          <w:szCs w:val="20"/>
        </w:rPr>
        <w:t>single survey can summarize them. In this essay, we will focus mainly on the factors that can explain the trends of the</w:t>
      </w:r>
      <w:r w:rsidRPr="00545808">
        <w:rPr>
          <w:color w:val="auto"/>
          <w:sz w:val="20"/>
          <w:szCs w:val="20"/>
        </w:rPr>
        <w:t xml:space="preserve"> concentration of wealth and of pers</w:t>
      </w:r>
      <w:r w:rsidRPr="002D0E9B">
        <w:rPr>
          <w:color w:val="auto"/>
          <w:sz w:val="20"/>
          <w:szCs w:val="20"/>
        </w:rPr>
        <w:t xml:space="preserve">onal income distribution. The functional distribution of income between capital and labor, the increase of capital share in national income and the wealth’s concentration are of course very important factors. </w:t>
      </w:r>
      <w:r w:rsidRPr="00C72F25">
        <w:rPr>
          <w:color w:val="auto"/>
          <w:sz w:val="20"/>
          <w:szCs w:val="20"/>
        </w:rPr>
        <w:t xml:space="preserve">The relation between </w:t>
      </w:r>
      <w:r w:rsidRPr="00A54D92">
        <w:rPr>
          <w:color w:val="auto"/>
          <w:sz w:val="20"/>
          <w:szCs w:val="20"/>
        </w:rPr>
        <w:t>them which pushes</w:t>
      </w:r>
      <w:r w:rsidRPr="00C72F25">
        <w:rPr>
          <w:color w:val="auto"/>
          <w:sz w:val="20"/>
          <w:szCs w:val="20"/>
        </w:rPr>
        <w:t xml:space="preserve"> toward greater inequality</w:t>
      </w:r>
      <w:r w:rsidRPr="00C72F25">
        <w:rPr>
          <w:color w:val="FF0000"/>
          <w:sz w:val="20"/>
          <w:szCs w:val="20"/>
        </w:rPr>
        <w:t xml:space="preserve"> </w:t>
      </w:r>
      <w:r w:rsidRPr="00C72F25">
        <w:rPr>
          <w:color w:val="auto"/>
          <w:sz w:val="20"/>
          <w:szCs w:val="20"/>
        </w:rPr>
        <w:t>in income and wealth, is well identified in Piketty’s macro setting</w:t>
      </w:r>
      <w:r w:rsidRPr="00DC4112">
        <w:rPr>
          <w:color w:val="FF0000"/>
          <w:sz w:val="20"/>
          <w:szCs w:val="20"/>
        </w:rPr>
        <w:t xml:space="preserve">. </w:t>
      </w:r>
      <w:r w:rsidRPr="00DC4112">
        <w:rPr>
          <w:rFonts w:eastAsia="TimesNewRomanPSMT"/>
          <w:color w:val="auto"/>
          <w:sz w:val="20"/>
          <w:szCs w:val="20"/>
          <w:lang w:val="en-IE" w:eastAsia="it-IT"/>
        </w:rPr>
        <w:t xml:space="preserve">“Capital in the XXI Century” discusses trends in inequality of income and wealth in many countries, and in different periods, taking in account of the relation between capital and growth. </w:t>
      </w:r>
      <w:r w:rsidRPr="00DC4112">
        <w:rPr>
          <w:color w:val="auto"/>
          <w:sz w:val="20"/>
          <w:szCs w:val="20"/>
        </w:rPr>
        <w:t xml:space="preserve">However, the personal income generating process, and its links with inequality, are not really analyzed. </w:t>
      </w:r>
    </w:p>
    <w:p w:rsidR="00C273A1" w:rsidRDefault="00C273A1" w:rsidP="00155AE6">
      <w:pPr>
        <w:pStyle w:val="Default"/>
        <w:jc w:val="both"/>
        <w:rPr>
          <w:sz w:val="20"/>
          <w:szCs w:val="20"/>
          <w:lang w:val="en-GB"/>
        </w:rPr>
      </w:pPr>
      <w:r w:rsidRPr="00DC4112">
        <w:rPr>
          <w:rStyle w:val="CitazioneHTML"/>
          <w:i w:val="0"/>
          <w:shd w:val="clear" w:color="auto" w:fill="FFFFFF"/>
        </w:rPr>
        <w:t>In his last book, Atkinson (2015)</w:t>
      </w:r>
      <w:r w:rsidRPr="00DC4112">
        <w:rPr>
          <w:rStyle w:val="CitazioneHTML"/>
          <w:shd w:val="clear" w:color="auto" w:fill="FFFFFF"/>
        </w:rPr>
        <w:t xml:space="preserve"> </w:t>
      </w:r>
      <w:r w:rsidRPr="00DC4112">
        <w:rPr>
          <w:sz w:val="20"/>
          <w:szCs w:val="20"/>
        </w:rPr>
        <w:t>brings his theoretical</w:t>
      </w:r>
      <w:r w:rsidRPr="005E64F0">
        <w:rPr>
          <w:sz w:val="20"/>
          <w:szCs w:val="20"/>
        </w:rPr>
        <w:t xml:space="preserve"> and practical experience to bear on the multifaced features of income inequality. He presents a comprehensive set of policies that could bring about a genuine shift in the distribution of income in developed countries. Atkinson claims that fresh ideas are needed in order to reduce inequality. It is necessary to go beyond imposing new taxes on the wealthy. His quite ambitious set of policies asks for an analytical innovative framework aimed to identify the micro and the macro variables which are sources of personal income distribution and therefore of inequality. It should be introduced a framework in order to “</w:t>
      </w:r>
      <w:r w:rsidRPr="005E64F0">
        <w:rPr>
          <w:sz w:val="20"/>
          <w:szCs w:val="20"/>
          <w:lang w:val="en-IE" w:eastAsia="it-IT"/>
        </w:rPr>
        <w:t>make a link between inco</w:t>
      </w:r>
      <w:r w:rsidRPr="0013584C">
        <w:rPr>
          <w:sz w:val="20"/>
          <w:szCs w:val="20"/>
          <w:lang w:val="en-IE" w:eastAsia="it-IT"/>
        </w:rPr>
        <w:t>mes at the macroeconomic level (national accounts) and incomes at the level of the household</w:t>
      </w:r>
      <w:r w:rsidRPr="0013584C">
        <w:rPr>
          <w:sz w:val="20"/>
          <w:szCs w:val="20"/>
          <w:lang w:eastAsia="it-IT"/>
        </w:rPr>
        <w:t xml:space="preserve">” (Atkinson, 2009, p.1). </w:t>
      </w:r>
      <w:r w:rsidRPr="0013584C">
        <w:rPr>
          <w:sz w:val="20"/>
          <w:szCs w:val="20"/>
          <w:lang w:val="en-GB"/>
        </w:rPr>
        <w:t>As Atkinson claims, the relationships between “factor shares …and inequality in the personal distribution of income … is the principal problem of political economy.” (Atkinson, 2009, p. 1). This framework</w:t>
      </w:r>
      <w:r w:rsidRPr="00DC4112">
        <w:rPr>
          <w:sz w:val="20"/>
          <w:szCs w:val="20"/>
          <w:lang w:val="en-GB"/>
        </w:rPr>
        <w:t>, as we will show,</w:t>
      </w:r>
      <w:r w:rsidRPr="0013584C">
        <w:rPr>
          <w:sz w:val="20"/>
          <w:szCs w:val="20"/>
          <w:lang w:val="en-GB"/>
        </w:rPr>
        <w:t xml:space="preserve"> can be built starting from the individual endowments and their links to the productive structure, that is from what we can call </w:t>
      </w:r>
      <w:r w:rsidRPr="00AC5A78">
        <w:rPr>
          <w:sz w:val="20"/>
          <w:szCs w:val="20"/>
          <w:lang w:val="en-GB"/>
        </w:rPr>
        <w:t>the “generating function of personal income”.</w:t>
      </w:r>
    </w:p>
    <w:p w:rsidR="00C273A1" w:rsidRDefault="00C273A1" w:rsidP="00155AE6">
      <w:pPr>
        <w:pStyle w:val="Default"/>
        <w:jc w:val="both"/>
      </w:pPr>
      <w:r w:rsidRPr="00AC5A78">
        <w:rPr>
          <w:sz w:val="20"/>
          <w:szCs w:val="20"/>
          <w:lang w:val="en-GB"/>
        </w:rPr>
        <w:t>The outline of the paper is the following. Section 2 introduces the</w:t>
      </w:r>
      <w:r w:rsidRPr="00AC5A78">
        <w:rPr>
          <w:b/>
          <w:bCs/>
          <w:sz w:val="20"/>
          <w:szCs w:val="20"/>
          <w:lang w:val="en-GB"/>
        </w:rPr>
        <w:t xml:space="preserve"> </w:t>
      </w:r>
      <w:r w:rsidRPr="00AC5A78">
        <w:rPr>
          <w:bCs/>
          <w:sz w:val="20"/>
          <w:szCs w:val="20"/>
        </w:rPr>
        <w:t xml:space="preserve">Piketty’s analytical framework. Section 3 discuss the “fundamental contradiction of capitalism”, that </w:t>
      </w:r>
      <w:r w:rsidRPr="00D1100D">
        <w:rPr>
          <w:bCs/>
          <w:sz w:val="20"/>
          <w:szCs w:val="20"/>
        </w:rPr>
        <w:t xml:space="preserve">is how the inequality </w:t>
      </w:r>
      <w:r w:rsidRPr="00D1100D">
        <w:rPr>
          <w:bCs/>
          <w:i/>
          <w:iCs/>
          <w:sz w:val="20"/>
          <w:szCs w:val="20"/>
        </w:rPr>
        <w:t xml:space="preserve">r </w:t>
      </w:r>
      <w:r w:rsidRPr="00D1100D">
        <w:rPr>
          <w:bCs/>
          <w:sz w:val="20"/>
          <w:szCs w:val="20"/>
        </w:rPr>
        <w:t xml:space="preserve">&gt; </w:t>
      </w:r>
      <w:r w:rsidRPr="00D1100D">
        <w:rPr>
          <w:bCs/>
          <w:i/>
          <w:iCs/>
          <w:sz w:val="20"/>
          <w:szCs w:val="20"/>
        </w:rPr>
        <w:t xml:space="preserve">g </w:t>
      </w:r>
      <w:r w:rsidRPr="00D1100D">
        <w:rPr>
          <w:bCs/>
          <w:sz w:val="20"/>
          <w:szCs w:val="20"/>
        </w:rPr>
        <w:t>in the long run brings to a higher concentration of wealth</w:t>
      </w:r>
      <w:r w:rsidRPr="00D1100D">
        <w:rPr>
          <w:bCs/>
          <w:i/>
          <w:iCs/>
          <w:sz w:val="20"/>
          <w:szCs w:val="20"/>
        </w:rPr>
        <w:t xml:space="preserve">. </w:t>
      </w:r>
      <w:r w:rsidRPr="00D1100D">
        <w:rPr>
          <w:sz w:val="20"/>
          <w:szCs w:val="20"/>
        </w:rPr>
        <w:t xml:space="preserve">In this </w:t>
      </w:r>
      <w:r w:rsidRPr="005E64F0">
        <w:rPr>
          <w:sz w:val="20"/>
          <w:szCs w:val="20"/>
        </w:rPr>
        <w:t>section, the authors argue that Piketty’s approach is only partially suitable to explain growing inequality in personal income distribution. Section 4 </w:t>
      </w:r>
      <w:r>
        <w:rPr>
          <w:sz w:val="20"/>
          <w:szCs w:val="20"/>
        </w:rPr>
        <w:t xml:space="preserve">introduces a general framework that can link </w:t>
      </w:r>
      <w:r w:rsidRPr="005E64F0">
        <w:rPr>
          <w:sz w:val="20"/>
          <w:szCs w:val="20"/>
        </w:rPr>
        <w:t>the</w:t>
      </w:r>
      <w:r w:rsidRPr="005E64F0">
        <w:rPr>
          <w:sz w:val="20"/>
          <w:szCs w:val="20"/>
          <w:lang w:val="en-IE"/>
        </w:rPr>
        <w:t xml:space="preserve"> functional and the personal income distribution. </w:t>
      </w:r>
      <w:r w:rsidRPr="005E64F0">
        <w:rPr>
          <w:rFonts w:eastAsia="MS Mincho"/>
          <w:sz w:val="20"/>
          <w:szCs w:val="20"/>
          <w:lang w:val="en-GB" w:eastAsia="ja-JP"/>
        </w:rPr>
        <w:t xml:space="preserve">The framework here </w:t>
      </w:r>
      <w:r w:rsidRPr="005E64F0">
        <w:rPr>
          <w:snapToGrid w:val="0"/>
          <w:sz w:val="20"/>
          <w:szCs w:val="20"/>
          <w:lang w:val="en-GB"/>
        </w:rPr>
        <w:t>introduced seems to be a</w:t>
      </w:r>
      <w:r w:rsidRPr="005E64F0">
        <w:rPr>
          <w:rFonts w:eastAsia="MS Mincho"/>
          <w:sz w:val="20"/>
          <w:szCs w:val="20"/>
          <w:lang w:val="en-GB" w:eastAsia="ja-JP"/>
        </w:rPr>
        <w:t xml:space="preserve"> suitable tool for taking in account that </w:t>
      </w:r>
      <w:r w:rsidRPr="005E64F0">
        <w:rPr>
          <w:sz w:val="20"/>
          <w:szCs w:val="20"/>
          <w:lang w:val="en-GB"/>
        </w:rPr>
        <w:t xml:space="preserve">personal income distribution is inextricably tied up with different </w:t>
      </w:r>
      <w:r w:rsidRPr="005E64F0">
        <w:rPr>
          <w:sz w:val="20"/>
          <w:szCs w:val="20"/>
          <w:lang w:val="en-IE"/>
        </w:rPr>
        <w:t xml:space="preserve">sources of inequality in the distribution of factors’ income such as those related to the </w:t>
      </w:r>
      <w:r w:rsidRPr="005E64F0">
        <w:rPr>
          <w:sz w:val="20"/>
          <w:szCs w:val="20"/>
          <w:lang w:val="en-GB"/>
        </w:rPr>
        <w:t>institutional and productive structures and those that comes from the distribution of endow</w:t>
      </w:r>
      <w:r w:rsidRPr="00CA2FB1">
        <w:rPr>
          <w:sz w:val="20"/>
          <w:szCs w:val="20"/>
          <w:lang w:val="en-GB"/>
        </w:rPr>
        <w:t>ments and of individual/ household entitlements.</w:t>
      </w:r>
      <w:r w:rsidRPr="00CA2FB1">
        <w:rPr>
          <w:sz w:val="20"/>
          <w:szCs w:val="20"/>
          <w:lang w:val="en-IE" w:eastAsia="it-IT"/>
        </w:rPr>
        <w:t xml:space="preserve"> </w:t>
      </w:r>
      <w:r w:rsidRPr="00AC5A78">
        <w:rPr>
          <w:sz w:val="20"/>
          <w:szCs w:val="20"/>
          <w:lang w:val="en-IE"/>
        </w:rPr>
        <w:t>Remarks on the relevance of the</w:t>
      </w:r>
      <w:r>
        <w:rPr>
          <w:sz w:val="20"/>
          <w:szCs w:val="20"/>
          <w:lang w:val="en-IE"/>
        </w:rPr>
        <w:t xml:space="preserve"> proposed framework for the assessment of reducing inequality’ policies concludes the paper (Section 5).</w:t>
      </w:r>
      <w:r w:rsidRPr="00296264">
        <w:t xml:space="preserve"> </w:t>
      </w:r>
    </w:p>
    <w:p w:rsidR="00C273A1" w:rsidRDefault="00C273A1" w:rsidP="00155AE6">
      <w:pPr>
        <w:pStyle w:val="Default"/>
        <w:jc w:val="both"/>
      </w:pPr>
    </w:p>
    <w:p w:rsidR="00C273A1" w:rsidRDefault="00C273A1" w:rsidP="00155AE6">
      <w:pPr>
        <w:pStyle w:val="Default"/>
        <w:jc w:val="both"/>
      </w:pPr>
    </w:p>
    <w:p w:rsidR="00C273A1" w:rsidRPr="0044502C" w:rsidRDefault="00C273A1" w:rsidP="00155AE6">
      <w:pPr>
        <w:pStyle w:val="Default"/>
        <w:jc w:val="both"/>
        <w:rPr>
          <w:color w:val="auto"/>
          <w:sz w:val="20"/>
          <w:szCs w:val="20"/>
        </w:rPr>
      </w:pPr>
      <w:r w:rsidRPr="0044502C">
        <w:rPr>
          <w:b/>
          <w:bCs/>
          <w:color w:val="auto"/>
          <w:sz w:val="20"/>
          <w:szCs w:val="20"/>
        </w:rPr>
        <w:t xml:space="preserve">2. The Piketty’s analytical framework. </w:t>
      </w:r>
    </w:p>
    <w:p w:rsidR="00C273A1" w:rsidRDefault="00C273A1" w:rsidP="00155AE6">
      <w:pPr>
        <w:pStyle w:val="Default"/>
        <w:jc w:val="both"/>
        <w:rPr>
          <w:color w:val="auto"/>
          <w:sz w:val="20"/>
          <w:szCs w:val="20"/>
        </w:rPr>
      </w:pPr>
      <w:r w:rsidRPr="0044502C">
        <w:rPr>
          <w:i/>
          <w:color w:val="auto"/>
          <w:sz w:val="20"/>
          <w:szCs w:val="20"/>
        </w:rPr>
        <w:t>“Capital in the Twenty-First Century</w:t>
      </w:r>
      <w:r w:rsidRPr="0044502C">
        <w:rPr>
          <w:color w:val="auto"/>
          <w:sz w:val="20"/>
          <w:szCs w:val="20"/>
        </w:rPr>
        <w:t xml:space="preserve">” provides a general theory of the functioning of a capitalist economy. Issues on inequality are only one aspect of that general theory. </w:t>
      </w:r>
      <w:r w:rsidRPr="0044502C">
        <w:rPr>
          <w:rStyle w:val="notranslate"/>
          <w:color w:val="auto"/>
          <w:sz w:val="20"/>
          <w:szCs w:val="20"/>
          <w:bdr w:val="none" w:sz="0" w:space="0" w:color="auto" w:frame="1"/>
        </w:rPr>
        <w:t xml:space="preserve">The setting can be called "classic" </w:t>
      </w:r>
      <w:r w:rsidRPr="0044502C">
        <w:rPr>
          <w:iCs/>
          <w:color w:val="auto"/>
          <w:sz w:val="20"/>
          <w:szCs w:val="20"/>
        </w:rPr>
        <w:t>in the wake of Smith, Ricardo and Marx</w:t>
      </w:r>
      <w:r w:rsidRPr="0044502C">
        <w:rPr>
          <w:rStyle w:val="notranslate"/>
          <w:color w:val="auto"/>
          <w:sz w:val="20"/>
          <w:szCs w:val="20"/>
          <w:bdr w:val="none" w:sz="0" w:space="0" w:color="auto" w:frame="1"/>
        </w:rPr>
        <w:t xml:space="preserve">. However </w:t>
      </w:r>
      <w:r w:rsidRPr="0044502C">
        <w:rPr>
          <w:color w:val="auto"/>
          <w:sz w:val="20"/>
          <w:szCs w:val="20"/>
        </w:rPr>
        <w:t xml:space="preserve">Piketty is not interested in explaining the role of capital accumulation </w:t>
      </w:r>
      <w:r w:rsidRPr="0044502C">
        <w:rPr>
          <w:i/>
          <w:iCs/>
          <w:color w:val="auto"/>
          <w:sz w:val="20"/>
          <w:szCs w:val="20"/>
        </w:rPr>
        <w:t xml:space="preserve">on </w:t>
      </w:r>
      <w:r w:rsidRPr="0044502C">
        <w:rPr>
          <w:color w:val="auto"/>
          <w:sz w:val="20"/>
          <w:szCs w:val="20"/>
        </w:rPr>
        <w:t xml:space="preserve">economic growth, but instead the inverse relation, that is the role of economic growth </w:t>
      </w:r>
      <w:r w:rsidRPr="0044502C">
        <w:rPr>
          <w:i/>
          <w:iCs/>
          <w:color w:val="auto"/>
          <w:sz w:val="20"/>
          <w:szCs w:val="20"/>
        </w:rPr>
        <w:t xml:space="preserve">on </w:t>
      </w:r>
      <w:r w:rsidRPr="0044502C">
        <w:rPr>
          <w:color w:val="auto"/>
          <w:sz w:val="20"/>
          <w:szCs w:val="20"/>
        </w:rPr>
        <w:t xml:space="preserve">the returns to capital, on the concentration of wealth and the inequality of income in capitalist economies. The forces that shape income’s concentration are economic but also political and institutional as wars, taxation, and inflation (Milanovic, 2014, p. 529). In a society where “patrimonial capitalism” prevails, wealth concentration mainly contributes to the inequality in the distribution of personal income. When the percentage of people who do not need to work in order to earn their living (the rentiers) will go up the distribution of personal income will become even more unequal. </w:t>
      </w:r>
    </w:p>
    <w:p w:rsidR="00C273A1" w:rsidRPr="00123308" w:rsidRDefault="00C273A1" w:rsidP="00155AE6">
      <w:pPr>
        <w:pStyle w:val="Default"/>
        <w:jc w:val="both"/>
        <w:rPr>
          <w:sz w:val="20"/>
          <w:szCs w:val="20"/>
        </w:rPr>
      </w:pPr>
      <w:r>
        <w:rPr>
          <w:color w:val="auto"/>
          <w:sz w:val="20"/>
          <w:szCs w:val="20"/>
        </w:rPr>
        <w:t>Piketty uses very simple economic models to explain what is going on. He reverses the relationship between income distribution and growth as it has been interpreted in the traditional Keynesian models</w:t>
      </w:r>
      <w:bookmarkStart w:id="1" w:name="_Hlk489093808"/>
      <w:r>
        <w:rPr>
          <w:color w:val="auto"/>
          <w:sz w:val="20"/>
          <w:szCs w:val="20"/>
        </w:rPr>
        <w:t>. In such models the rate of the economic growth is obtained as the ratio between the saving rate and the capital-output ratio. P</w:t>
      </w:r>
      <w:bookmarkEnd w:id="1"/>
      <w:r>
        <w:rPr>
          <w:color w:val="auto"/>
          <w:sz w:val="20"/>
          <w:szCs w:val="20"/>
        </w:rPr>
        <w:t xml:space="preserve">iketty, instead, investigates how the ratio between the saving rate and the rate of growth of the economy determines the capital-output ratio, and consequently the share of capital’s income in the national product. The definition of capital follows the SNA guidelines. It includes all forms of assets (housing, land, machinery, financial assets in the form of cash, bonds and </w:t>
      </w:r>
      <w:r w:rsidRPr="00123308">
        <w:rPr>
          <w:color w:val="auto"/>
          <w:sz w:val="20"/>
          <w:szCs w:val="20"/>
        </w:rPr>
        <w:lastRenderedPageBreak/>
        <w:t xml:space="preserve">shares, intellectual property) that generate a return/rent as the result of the functioning of a “pure and perfect” market for capital. Durable goods are not included. </w:t>
      </w:r>
    </w:p>
    <w:p w:rsidR="00C273A1" w:rsidRPr="00123308" w:rsidRDefault="00C273A1" w:rsidP="00155AE6">
      <w:pPr>
        <w:pStyle w:val="Default"/>
        <w:jc w:val="both"/>
        <w:rPr>
          <w:b/>
          <w:bCs/>
          <w:sz w:val="20"/>
          <w:szCs w:val="20"/>
        </w:rPr>
      </w:pPr>
      <w:r w:rsidRPr="00123308">
        <w:rPr>
          <w:sz w:val="20"/>
          <w:szCs w:val="20"/>
        </w:rPr>
        <w:t xml:space="preserve">The analytical framework consists of two models: i) the first is a quite standard Harrod-Domar-Solow macro model aimed at determining the capital-income ratio </w:t>
      </w:r>
      <w:r w:rsidRPr="00123308">
        <w:rPr>
          <w:i/>
          <w:iCs/>
          <w:sz w:val="20"/>
          <w:szCs w:val="20"/>
        </w:rPr>
        <w:t>β</w:t>
      </w:r>
      <w:r w:rsidRPr="00123308">
        <w:rPr>
          <w:sz w:val="20"/>
          <w:szCs w:val="20"/>
        </w:rPr>
        <w:t xml:space="preserve"> and the capital’ share on national income </w:t>
      </w:r>
      <w:r w:rsidRPr="00123308">
        <w:rPr>
          <w:bCs/>
          <w:i/>
          <w:iCs/>
          <w:sz w:val="20"/>
          <w:szCs w:val="20"/>
        </w:rPr>
        <w:t>α.</w:t>
      </w:r>
      <w:r w:rsidRPr="00123308">
        <w:rPr>
          <w:sz w:val="20"/>
          <w:szCs w:val="20"/>
        </w:rPr>
        <w:t xml:space="preserve">; ii) the second model is aimed at linking the wealth’ concentration to the rate of growth of the average rate of return to capital </w:t>
      </w:r>
      <w:r w:rsidRPr="00123308">
        <w:rPr>
          <w:i/>
          <w:sz w:val="20"/>
          <w:szCs w:val="20"/>
        </w:rPr>
        <w:t>r</w:t>
      </w:r>
      <w:r w:rsidRPr="00123308">
        <w:rPr>
          <w:sz w:val="20"/>
          <w:szCs w:val="20"/>
        </w:rPr>
        <w:t xml:space="preserve"> in comparison to the rate of growth of the economy </w:t>
      </w:r>
      <w:r w:rsidRPr="00123308">
        <w:rPr>
          <w:i/>
          <w:sz w:val="20"/>
          <w:szCs w:val="20"/>
        </w:rPr>
        <w:t>g</w:t>
      </w:r>
      <w:r w:rsidRPr="00123308">
        <w:rPr>
          <w:sz w:val="20"/>
          <w:szCs w:val="20"/>
        </w:rPr>
        <w:t xml:space="preserve">. The first model leads to the </w:t>
      </w:r>
      <w:r w:rsidRPr="00123308">
        <w:rPr>
          <w:b/>
          <w:bCs/>
          <w:sz w:val="20"/>
          <w:szCs w:val="20"/>
        </w:rPr>
        <w:t>“</w:t>
      </w:r>
      <w:r w:rsidRPr="00123308">
        <w:rPr>
          <w:bCs/>
          <w:sz w:val="20"/>
          <w:szCs w:val="20"/>
        </w:rPr>
        <w:t>first and the second laws of capitalism</w:t>
      </w:r>
      <w:r w:rsidRPr="00123308">
        <w:rPr>
          <w:b/>
          <w:bCs/>
          <w:sz w:val="20"/>
          <w:szCs w:val="20"/>
        </w:rPr>
        <w:t xml:space="preserve">”.  </w:t>
      </w:r>
      <w:r w:rsidRPr="00123308">
        <w:rPr>
          <w:bCs/>
          <w:sz w:val="20"/>
          <w:szCs w:val="20"/>
        </w:rPr>
        <w:t xml:space="preserve">According to the first law, </w:t>
      </w:r>
      <w:r w:rsidRPr="00123308">
        <w:rPr>
          <w:i/>
          <w:iCs/>
          <w:sz w:val="20"/>
          <w:szCs w:val="20"/>
        </w:rPr>
        <w:t>α</w:t>
      </w:r>
      <w:r w:rsidRPr="00123308">
        <w:rPr>
          <w:sz w:val="20"/>
          <w:szCs w:val="20"/>
        </w:rPr>
        <w:t xml:space="preserve"> is linked to </w:t>
      </w:r>
      <w:r w:rsidRPr="00123308">
        <w:rPr>
          <w:i/>
          <w:iCs/>
          <w:sz w:val="20"/>
          <w:szCs w:val="20"/>
        </w:rPr>
        <w:t xml:space="preserve">β </w:t>
      </w:r>
      <w:r w:rsidRPr="00123308">
        <w:rPr>
          <w:sz w:val="20"/>
          <w:szCs w:val="20"/>
        </w:rPr>
        <w:t xml:space="preserve">and to </w:t>
      </w:r>
      <w:r w:rsidRPr="00123308">
        <w:rPr>
          <w:i/>
          <w:iCs/>
          <w:sz w:val="20"/>
          <w:szCs w:val="20"/>
        </w:rPr>
        <w:t>r (</w:t>
      </w:r>
      <w:r w:rsidRPr="00123308">
        <w:rPr>
          <w:bCs/>
          <w:i/>
          <w:iCs/>
          <w:sz w:val="20"/>
          <w:szCs w:val="20"/>
        </w:rPr>
        <w:t xml:space="preserve">α = r </w:t>
      </w:r>
      <w:r w:rsidRPr="00123308">
        <w:rPr>
          <w:iCs/>
          <w:sz w:val="20"/>
          <w:szCs w:val="20"/>
        </w:rPr>
        <w:t>x</w:t>
      </w:r>
      <w:r w:rsidRPr="00123308">
        <w:rPr>
          <w:bCs/>
          <w:i/>
          <w:iCs/>
          <w:sz w:val="20"/>
          <w:szCs w:val="20"/>
        </w:rPr>
        <w:t xml:space="preserve"> β). </w:t>
      </w:r>
      <w:r w:rsidRPr="00123308">
        <w:rPr>
          <w:bCs/>
          <w:iCs/>
          <w:sz w:val="20"/>
          <w:szCs w:val="20"/>
        </w:rPr>
        <w:t>The capital-output ratio</w:t>
      </w:r>
      <w:r w:rsidRPr="00123308">
        <w:rPr>
          <w:bCs/>
          <w:i/>
          <w:iCs/>
          <w:sz w:val="20"/>
          <w:szCs w:val="20"/>
        </w:rPr>
        <w:t xml:space="preserve"> </w:t>
      </w:r>
      <w:r w:rsidRPr="00123308">
        <w:rPr>
          <w:i/>
          <w:sz w:val="20"/>
          <w:szCs w:val="20"/>
        </w:rPr>
        <w:t>β</w:t>
      </w:r>
      <w:r w:rsidRPr="00123308">
        <w:rPr>
          <w:sz w:val="20"/>
          <w:szCs w:val="20"/>
        </w:rPr>
        <w:t xml:space="preserve"> measures the overall importance of wealth in a given society, as well as the capital intensity of production (Piketty, Saez, 2014, p.840). </w:t>
      </w:r>
      <w:r w:rsidRPr="00DC4112">
        <w:rPr>
          <w:sz w:val="20"/>
          <w:szCs w:val="20"/>
        </w:rPr>
        <w:t xml:space="preserve">Assuming, as Piketty does, that in perfectly competitive markets </w:t>
      </w:r>
      <w:r w:rsidRPr="00DC4112">
        <w:rPr>
          <w:i/>
          <w:iCs/>
          <w:sz w:val="20"/>
          <w:szCs w:val="20"/>
        </w:rPr>
        <w:t xml:space="preserve">r </w:t>
      </w:r>
      <w:r w:rsidRPr="00DC4112">
        <w:rPr>
          <w:sz w:val="20"/>
          <w:szCs w:val="20"/>
        </w:rPr>
        <w:t xml:space="preserve">is equal to the marginal productivity of capital, it decreases when </w:t>
      </w:r>
      <w:r w:rsidRPr="00DC4112">
        <w:rPr>
          <w:i/>
          <w:sz w:val="20"/>
          <w:szCs w:val="20"/>
        </w:rPr>
        <w:t>β</w:t>
      </w:r>
      <w:r w:rsidRPr="00DC4112">
        <w:rPr>
          <w:sz w:val="20"/>
          <w:szCs w:val="20"/>
        </w:rPr>
        <w:t xml:space="preserve"> increases. In</w:t>
      </w:r>
      <w:r w:rsidRPr="00123308">
        <w:rPr>
          <w:sz w:val="20"/>
          <w:szCs w:val="20"/>
        </w:rPr>
        <w:t xml:space="preserve"> a more complex economy, where many diverse uses of capital exist, the rate of return on capital </w:t>
      </w:r>
      <w:r w:rsidRPr="00123308">
        <w:rPr>
          <w:i/>
          <w:iCs/>
          <w:sz w:val="20"/>
          <w:szCs w:val="20"/>
        </w:rPr>
        <w:t xml:space="preserve">r </w:t>
      </w:r>
      <w:r w:rsidRPr="00123308">
        <w:rPr>
          <w:sz w:val="20"/>
          <w:szCs w:val="20"/>
        </w:rPr>
        <w:t xml:space="preserve">may be higher or lower than the marginal productivity of capital. </w:t>
      </w:r>
      <w:r w:rsidRPr="00DC4112">
        <w:rPr>
          <w:sz w:val="20"/>
          <w:szCs w:val="20"/>
        </w:rPr>
        <w:t>It can be determined by some other forces: firstly by the technology and secondly by the abundance of the capital stock (Piketty, 2014a, p. 154).</w:t>
      </w:r>
      <w:r w:rsidRPr="00123308">
        <w:rPr>
          <w:sz w:val="20"/>
          <w:szCs w:val="20"/>
        </w:rPr>
        <w:t xml:space="preserve"> Thirdly, the owner of capital which is in a monopolistic position can impose a rate of return greater than the marginal productivity of the capital itself. </w:t>
      </w:r>
    </w:p>
    <w:p w:rsidR="00C273A1" w:rsidRDefault="00C273A1" w:rsidP="00155AE6">
      <w:pPr>
        <w:pStyle w:val="Default"/>
        <w:jc w:val="both"/>
        <w:rPr>
          <w:color w:val="auto"/>
          <w:sz w:val="20"/>
          <w:szCs w:val="20"/>
        </w:rPr>
      </w:pPr>
      <w:r w:rsidRPr="00123308">
        <w:rPr>
          <w:color w:val="auto"/>
          <w:sz w:val="20"/>
          <w:szCs w:val="20"/>
        </w:rPr>
        <w:t xml:space="preserve">The central question becomes how much the rate of return on capital </w:t>
      </w:r>
      <w:r w:rsidRPr="00123308">
        <w:rPr>
          <w:i/>
          <w:iCs/>
          <w:color w:val="auto"/>
          <w:sz w:val="20"/>
          <w:szCs w:val="20"/>
        </w:rPr>
        <w:t xml:space="preserve">r </w:t>
      </w:r>
      <w:r w:rsidRPr="00123308">
        <w:rPr>
          <w:color w:val="auto"/>
          <w:sz w:val="20"/>
          <w:szCs w:val="20"/>
        </w:rPr>
        <w:t xml:space="preserve">decreases when the capital-income ratio </w:t>
      </w:r>
      <w:r w:rsidRPr="00123308">
        <w:rPr>
          <w:i/>
          <w:color w:val="auto"/>
          <w:sz w:val="20"/>
          <w:szCs w:val="20"/>
        </w:rPr>
        <w:t>β</w:t>
      </w:r>
      <w:r w:rsidRPr="00123308">
        <w:rPr>
          <w:color w:val="auto"/>
          <w:sz w:val="20"/>
          <w:szCs w:val="20"/>
        </w:rPr>
        <w:t xml:space="preserve"> increases (Piketty, 2014a, p.155). This depends on the elasticity of substitution (</w:t>
      </w:r>
      <w:r w:rsidRPr="00123308">
        <w:rPr>
          <w:i/>
          <w:color w:val="auto"/>
          <w:sz w:val="20"/>
          <w:szCs w:val="20"/>
        </w:rPr>
        <w:t>σ</w:t>
      </w:r>
      <w:r w:rsidRPr="00123308">
        <w:rPr>
          <w:color w:val="auto"/>
          <w:sz w:val="20"/>
          <w:szCs w:val="20"/>
        </w:rPr>
        <w:t xml:space="preserve">) between capital K and labor L in a CES production function. The standard assumption is that the production function is a Cobb Douglas where </w:t>
      </w:r>
      <w:r w:rsidRPr="00123308">
        <w:rPr>
          <w:i/>
          <w:color w:val="auto"/>
          <w:sz w:val="20"/>
          <w:szCs w:val="20"/>
        </w:rPr>
        <w:t>σ</w:t>
      </w:r>
      <w:r w:rsidRPr="00123308">
        <w:rPr>
          <w:color w:val="auto"/>
          <w:sz w:val="20"/>
          <w:szCs w:val="20"/>
        </w:rPr>
        <w:t xml:space="preserve"> is equal to 1: as the stock of capital rises, the rate of return on capital </w:t>
      </w:r>
      <w:r w:rsidRPr="00123308">
        <w:rPr>
          <w:i/>
          <w:iCs/>
          <w:color w:val="auto"/>
          <w:sz w:val="20"/>
          <w:szCs w:val="20"/>
        </w:rPr>
        <w:t xml:space="preserve">r </w:t>
      </w:r>
      <w:r w:rsidRPr="00123308">
        <w:rPr>
          <w:color w:val="auto"/>
          <w:sz w:val="20"/>
          <w:szCs w:val="20"/>
        </w:rPr>
        <w:t xml:space="preserve">decreases exactly in the same proportion, so that </w:t>
      </w:r>
      <w:r w:rsidRPr="00123308">
        <w:rPr>
          <w:i/>
          <w:iCs/>
          <w:color w:val="auto"/>
          <w:sz w:val="20"/>
          <w:szCs w:val="20"/>
        </w:rPr>
        <w:t xml:space="preserve">α </w:t>
      </w:r>
      <w:r w:rsidRPr="00123308">
        <w:rPr>
          <w:color w:val="auto"/>
          <w:sz w:val="20"/>
          <w:szCs w:val="20"/>
        </w:rPr>
        <w:t xml:space="preserve">does not change (Piketty, 2014a, p. 154). If the rate of return on capital </w:t>
      </w:r>
      <w:r w:rsidRPr="00123308">
        <w:rPr>
          <w:i/>
          <w:iCs/>
          <w:color w:val="auto"/>
          <w:sz w:val="20"/>
          <w:szCs w:val="20"/>
        </w:rPr>
        <w:t xml:space="preserve">r </w:t>
      </w:r>
      <w:r w:rsidRPr="00123308">
        <w:rPr>
          <w:color w:val="auto"/>
          <w:sz w:val="20"/>
          <w:szCs w:val="20"/>
        </w:rPr>
        <w:t xml:space="preserve">falls more than proportionately when the capital income ratio </w:t>
      </w:r>
      <w:r w:rsidRPr="00123308">
        <w:rPr>
          <w:i/>
          <w:color w:val="auto"/>
          <w:sz w:val="20"/>
          <w:szCs w:val="20"/>
        </w:rPr>
        <w:t>β</w:t>
      </w:r>
      <w:r w:rsidRPr="00123308">
        <w:rPr>
          <w:color w:val="auto"/>
          <w:sz w:val="20"/>
          <w:szCs w:val="20"/>
        </w:rPr>
        <w:t xml:space="preserve"> increases, then the share of capital’s income in national income decreases. On the opposite, if the rate </w:t>
      </w:r>
      <w:r>
        <w:rPr>
          <w:color w:val="auto"/>
          <w:sz w:val="20"/>
          <w:szCs w:val="20"/>
        </w:rPr>
        <w:t xml:space="preserve">of return </w:t>
      </w:r>
      <w:r>
        <w:rPr>
          <w:i/>
          <w:iCs/>
          <w:color w:val="auto"/>
          <w:sz w:val="20"/>
          <w:szCs w:val="20"/>
        </w:rPr>
        <w:t xml:space="preserve">r </w:t>
      </w:r>
      <w:r>
        <w:rPr>
          <w:color w:val="auto"/>
          <w:sz w:val="20"/>
          <w:szCs w:val="20"/>
        </w:rPr>
        <w:t xml:space="preserve">falls less than proportionately when </w:t>
      </w:r>
      <w:r>
        <w:rPr>
          <w:i/>
          <w:color w:val="auto"/>
          <w:sz w:val="20"/>
          <w:szCs w:val="20"/>
        </w:rPr>
        <w:t>β</w:t>
      </w:r>
      <w:r>
        <w:rPr>
          <w:color w:val="auto"/>
          <w:sz w:val="20"/>
          <w:szCs w:val="20"/>
        </w:rPr>
        <w:t xml:space="preserve"> increases then the capital share of income increases with </w:t>
      </w:r>
      <w:r>
        <w:rPr>
          <w:i/>
          <w:color w:val="auto"/>
          <w:sz w:val="20"/>
          <w:szCs w:val="20"/>
        </w:rPr>
        <w:t>β</w:t>
      </w:r>
      <w:r>
        <w:rPr>
          <w:color w:val="auto"/>
          <w:sz w:val="20"/>
          <w:szCs w:val="20"/>
        </w:rPr>
        <w:t>. Piketty introduces the hypothesis that the elasticity of substitution (</w:t>
      </w:r>
      <w:r>
        <w:rPr>
          <w:i/>
          <w:color w:val="auto"/>
          <w:sz w:val="20"/>
          <w:szCs w:val="20"/>
        </w:rPr>
        <w:t>σ</w:t>
      </w:r>
      <w:r>
        <w:rPr>
          <w:color w:val="auto"/>
          <w:sz w:val="20"/>
          <w:szCs w:val="20"/>
        </w:rPr>
        <w:t>) between capital K and labor L is greater than one (</w:t>
      </w:r>
      <w:r>
        <w:rPr>
          <w:i/>
          <w:iCs/>
          <w:color w:val="auto"/>
          <w:sz w:val="20"/>
          <w:szCs w:val="20"/>
        </w:rPr>
        <w:t>σ&gt;1</w:t>
      </w:r>
      <w:r>
        <w:rPr>
          <w:color w:val="auto"/>
          <w:sz w:val="20"/>
          <w:szCs w:val="20"/>
        </w:rPr>
        <w:t xml:space="preserve">) so that a rise of capital income ratio </w:t>
      </w:r>
      <w:r>
        <w:rPr>
          <w:i/>
          <w:iCs/>
          <w:color w:val="auto"/>
          <w:sz w:val="20"/>
          <w:szCs w:val="20"/>
        </w:rPr>
        <w:t xml:space="preserve">β </w:t>
      </w:r>
      <w:r>
        <w:rPr>
          <w:color w:val="auto"/>
          <w:sz w:val="20"/>
          <w:szCs w:val="20"/>
        </w:rPr>
        <w:t xml:space="preserve">also leads to a rise of the share of capital in national income. Intuitively, it makes sense to assume that </w:t>
      </w:r>
      <w:r>
        <w:rPr>
          <w:i/>
          <w:iCs/>
          <w:color w:val="auto"/>
          <w:sz w:val="20"/>
          <w:szCs w:val="20"/>
        </w:rPr>
        <w:t xml:space="preserve">σ </w:t>
      </w:r>
      <w:r>
        <w:rPr>
          <w:color w:val="auto"/>
          <w:sz w:val="20"/>
          <w:szCs w:val="20"/>
        </w:rPr>
        <w:t xml:space="preserve">tends to rise over the development process, as there are more diverse uses and “forms” for capital and more possibilities to substitute capital for labor (Piketty, Saez, 2014, p. 841). </w:t>
      </w:r>
    </w:p>
    <w:p w:rsidR="00C273A1" w:rsidRDefault="00C273A1" w:rsidP="00155AE6">
      <w:pPr>
        <w:pStyle w:val="Default"/>
        <w:widowControl w:val="0"/>
        <w:jc w:val="both"/>
        <w:rPr>
          <w:sz w:val="20"/>
          <w:szCs w:val="20"/>
        </w:rPr>
      </w:pPr>
      <w:r>
        <w:rPr>
          <w:color w:val="auto"/>
          <w:sz w:val="20"/>
          <w:szCs w:val="20"/>
        </w:rPr>
        <w:t xml:space="preserve">The “second fundamental law of capitalism” allows to determine the value of </w:t>
      </w:r>
      <w:r>
        <w:rPr>
          <w:i/>
          <w:iCs/>
          <w:color w:val="auto"/>
          <w:sz w:val="20"/>
          <w:szCs w:val="20"/>
        </w:rPr>
        <w:t xml:space="preserve">β </w:t>
      </w:r>
      <w:r>
        <w:rPr>
          <w:color w:val="auto"/>
          <w:sz w:val="20"/>
          <w:szCs w:val="20"/>
        </w:rPr>
        <w:t xml:space="preserve">in the long run. The hypothesis is that capital-income ratio converges toward </w:t>
      </w:r>
      <w:r>
        <w:rPr>
          <w:i/>
          <w:iCs/>
          <w:color w:val="auto"/>
          <w:sz w:val="20"/>
          <w:szCs w:val="20"/>
        </w:rPr>
        <w:t>β=s/g</w:t>
      </w:r>
      <w:r>
        <w:rPr>
          <w:color w:val="auto"/>
          <w:sz w:val="20"/>
          <w:szCs w:val="20"/>
        </w:rPr>
        <w:t xml:space="preserve">, where </w:t>
      </w:r>
      <w:r>
        <w:rPr>
          <w:i/>
          <w:iCs/>
          <w:color w:val="auto"/>
          <w:sz w:val="20"/>
          <w:szCs w:val="20"/>
        </w:rPr>
        <w:t xml:space="preserve">s </w:t>
      </w:r>
      <w:r>
        <w:rPr>
          <w:color w:val="auto"/>
          <w:sz w:val="20"/>
          <w:szCs w:val="20"/>
        </w:rPr>
        <w:t xml:space="preserve">is the long-run annual saving rate (saving being invested in domestic or foreign assets) </w:t>
      </w:r>
      <w:r w:rsidRPr="00DC4112">
        <w:rPr>
          <w:color w:val="auto"/>
          <w:sz w:val="20"/>
          <w:szCs w:val="20"/>
        </w:rPr>
        <w:t xml:space="preserve">and </w:t>
      </w:r>
      <w:r w:rsidRPr="00DC4112">
        <w:rPr>
          <w:i/>
          <w:iCs/>
          <w:color w:val="auto"/>
          <w:sz w:val="20"/>
          <w:szCs w:val="20"/>
        </w:rPr>
        <w:t xml:space="preserve">g </w:t>
      </w:r>
      <w:r w:rsidRPr="00DC4112">
        <w:rPr>
          <w:color w:val="auto"/>
          <w:sz w:val="20"/>
          <w:szCs w:val="20"/>
        </w:rPr>
        <w:t>is the long-run annual total growth rate of the economy (as sum of the population and the productivity growth rate  (Piketty, Saez, 2014, p. 840).</w:t>
      </w:r>
      <w:r>
        <w:rPr>
          <w:color w:val="auto"/>
          <w:sz w:val="20"/>
          <w:szCs w:val="20"/>
        </w:rPr>
        <w:t xml:space="preserve"> The higher the savings rate and the lower the growth rate, the higher the capital-income ratio </w:t>
      </w:r>
      <w:r>
        <w:rPr>
          <w:i/>
          <w:iCs/>
          <w:color w:val="auto"/>
          <w:sz w:val="20"/>
          <w:szCs w:val="20"/>
        </w:rPr>
        <w:t xml:space="preserve">β </w:t>
      </w:r>
      <w:r>
        <w:rPr>
          <w:color w:val="auto"/>
          <w:sz w:val="20"/>
          <w:szCs w:val="20"/>
        </w:rPr>
        <w:t>will be (Piketty, 2014a, p. 44). In a stagnant economy, where the growth of the economy is relatively slow because of both demographic or technical factors, the rate of saving exceeds the rate of growth, (</w:t>
      </w:r>
      <w:r>
        <w:rPr>
          <w:i/>
          <w:color w:val="auto"/>
          <w:sz w:val="20"/>
          <w:szCs w:val="20"/>
        </w:rPr>
        <w:t>s&gt;g</w:t>
      </w:r>
      <w:r>
        <w:rPr>
          <w:color w:val="auto"/>
          <w:sz w:val="20"/>
          <w:szCs w:val="20"/>
        </w:rPr>
        <w:t xml:space="preserve">) so that </w:t>
      </w:r>
      <w:r>
        <w:rPr>
          <w:i/>
          <w:iCs/>
          <w:color w:val="auto"/>
          <w:sz w:val="20"/>
          <w:szCs w:val="20"/>
        </w:rPr>
        <w:t xml:space="preserve">β </w:t>
      </w:r>
      <w:r>
        <w:rPr>
          <w:color w:val="auto"/>
          <w:sz w:val="20"/>
          <w:szCs w:val="20"/>
        </w:rPr>
        <w:t xml:space="preserve">will be high and increasing. If both </w:t>
      </w:r>
      <w:r>
        <w:rPr>
          <w:i/>
          <w:iCs/>
          <w:color w:val="auto"/>
          <w:sz w:val="20"/>
          <w:szCs w:val="20"/>
        </w:rPr>
        <w:t xml:space="preserve">α </w:t>
      </w:r>
      <w:r>
        <w:rPr>
          <w:iCs/>
          <w:color w:val="auto"/>
          <w:sz w:val="20"/>
          <w:szCs w:val="20"/>
        </w:rPr>
        <w:t>a</w:t>
      </w:r>
      <w:r>
        <w:rPr>
          <w:color w:val="auto"/>
          <w:sz w:val="20"/>
          <w:szCs w:val="20"/>
        </w:rPr>
        <w:t xml:space="preserve">nd </w:t>
      </w:r>
      <w:r>
        <w:rPr>
          <w:i/>
          <w:iCs/>
          <w:color w:val="auto"/>
          <w:sz w:val="20"/>
          <w:szCs w:val="20"/>
        </w:rPr>
        <w:t xml:space="preserve">β </w:t>
      </w:r>
      <w:r>
        <w:rPr>
          <w:color w:val="auto"/>
          <w:sz w:val="20"/>
          <w:szCs w:val="20"/>
        </w:rPr>
        <w:t xml:space="preserve">are increasing, also the concentration of wealth will be high and increasing. At least it is what we observe in historical series. </w:t>
      </w:r>
      <w:r>
        <w:rPr>
          <w:sz w:val="20"/>
          <w:szCs w:val="20"/>
        </w:rPr>
        <w:t xml:space="preserve">Piketty claims that capitalists save a sufficiently large share of their returns to ensure that their capital will grow at least as fast as the economy. This process tends to give lasting, disproportionate importance to wealth created in the past, and therefore to inheritance (Piketty, 2014a, p. 267). Inherited wealth will dominate wealth amassed from a lifetime’s labor by a wide margin, and the concentration of capital will attain extremely high levels (Piketty, 2014a, p. 25). These levels are incompatible with the meritocratic values and the principles of social justice prevailing in modern democratic societies. </w:t>
      </w:r>
    </w:p>
    <w:p w:rsidR="00C273A1" w:rsidRDefault="00C273A1" w:rsidP="00155AE6">
      <w:pPr>
        <w:autoSpaceDE w:val="0"/>
        <w:autoSpaceDN w:val="0"/>
        <w:adjustRightInd w:val="0"/>
        <w:spacing w:after="0" w:line="240" w:lineRule="auto"/>
        <w:jc w:val="both"/>
        <w:rPr>
          <w:rFonts w:ascii="TimesLTStd-Roman" w:hAnsi="TimesLTStd-Roman" w:cs="TimesLTStd-Roman"/>
          <w:sz w:val="20"/>
          <w:szCs w:val="20"/>
          <w:lang w:val="en-IE"/>
        </w:rPr>
      </w:pPr>
      <w:r>
        <w:rPr>
          <w:rFonts w:ascii="Times New Roman" w:hAnsi="Times New Roman"/>
          <w:sz w:val="20"/>
          <w:szCs w:val="20"/>
        </w:rPr>
        <w:t>Several daily and weekly newspapers have hosted reviews of "Capital in the Twenty-First Century”, almost always very positive (Krugman, 2014; Stiglitz, 2014a; Solow, 2014). Only few review have been critical. At</w:t>
      </w:r>
      <w:bookmarkStart w:id="2" w:name="_Hlk488745893"/>
      <w:r>
        <w:rPr>
          <w:rFonts w:ascii="Times New Roman" w:hAnsi="Times New Roman"/>
          <w:sz w:val="20"/>
          <w:szCs w:val="20"/>
        </w:rPr>
        <w:t xml:space="preserve"> the beginning the reliability of the data’ sources used and of the estimates presented have been challenged</w:t>
      </w:r>
      <w:bookmarkEnd w:id="2"/>
      <w:r>
        <w:rPr>
          <w:rFonts w:ascii="Times New Roman" w:hAnsi="Times New Roman"/>
          <w:sz w:val="20"/>
          <w:szCs w:val="20"/>
        </w:rPr>
        <w:t xml:space="preserve"> (Giles, 2014). Criticism on the sources, however, do not appear to have significantly weakened the volume’s content. The author himself answered by pointing out that the results obtained, showing increasing inequality in many periods and in many countries based on empirical evidence, can only be the result of an imperfect inference, as it always happens in social sciences. Piketty has revolutionized the field of researches on income distribution by the use of fiscal sources and by his focus on top income shares. In collaboration with Facundo Alvaredo, Anthony Atkinson and Emmanuel Saez (2014) he uses very detailed fiscal data to trace the evolution of income and wealth distribution in different countries. This choice is in line with the previous researches of Simon Kuznets (1953) who first used tax data. The use of fiscal data, however, can be questioned as the sole (or even the best) approach to the analysis of income distribution (</w:t>
      </w:r>
      <w:r>
        <w:rPr>
          <w:rFonts w:ascii="Times New Roman" w:hAnsi="Times New Roman"/>
          <w:sz w:val="20"/>
          <w:szCs w:val="20"/>
          <w:lang w:val="en-IE" w:eastAsia="it-IT"/>
        </w:rPr>
        <w:t>Mechling et al., 2017)</w:t>
      </w:r>
      <w:r>
        <w:rPr>
          <w:rFonts w:ascii="Times New Roman" w:hAnsi="Times New Roman"/>
          <w:sz w:val="20"/>
          <w:szCs w:val="20"/>
        </w:rPr>
        <w:t xml:space="preserve">. Historically, income tax returns have been filed by a small percentage of the population even in today’s rich countries, so the long-term series can be of dubious quality. The same is true in developing countries now. We might know the top of an income distribution (the richest tax-filers) but we don’t any information about the bulk of the population. Whether the highest tax-filers are really the richest people is also questionable. Not only because of the obvious incentive to underreport income or because in the past some particularly rich classes were exempt from taxation. Taxes are paid by fiscal units, not by individuals: the richest fiscal units may change with the tax rules (e.g., whether it is more advantageous to file jointly or separately). </w:t>
      </w:r>
      <w:r w:rsidRPr="00FE536C">
        <w:rPr>
          <w:rFonts w:ascii="Times New Roman" w:hAnsi="Times New Roman"/>
          <w:sz w:val="20"/>
          <w:szCs w:val="20"/>
        </w:rPr>
        <w:t>The income that is reported to tax authorities is market and not disposable income, that is income not including transfers and taxes.</w:t>
      </w:r>
      <w:r>
        <w:rPr>
          <w:rFonts w:ascii="Times New Roman" w:hAnsi="Times New Roman"/>
          <w:sz w:val="20"/>
          <w:szCs w:val="20"/>
        </w:rPr>
        <w:t xml:space="preserve"> The concentration of market income among fiscal units may, or may not, tell us much about the inequality of disposable income among individuals, which is ultimately the concept we are interested in. Piketty mentions some of these caveats but essentially ignores them.</w:t>
      </w:r>
      <w:r>
        <w:rPr>
          <w:rFonts w:ascii="Times New Roman" w:hAnsi="Times New Roman"/>
          <w:sz w:val="20"/>
          <w:szCs w:val="20"/>
          <w:lang w:val="en-IE" w:eastAsia="it-IT"/>
        </w:rPr>
        <w:t xml:space="preserve"> </w:t>
      </w:r>
      <w:r>
        <w:rPr>
          <w:rFonts w:ascii="TimesLTStd-Roman" w:hAnsi="TimesLTStd-Roman" w:cs="TimesLTStd-Roman"/>
          <w:sz w:val="20"/>
          <w:szCs w:val="20"/>
          <w:lang w:val="en-IE"/>
        </w:rPr>
        <w:t>Many authors have raised a variety of issues concerning the sources and construction of the data. This topic is out of the focus of our paper. It can be useful, however remember the claims of Auerbach and Hassett (2015</w:t>
      </w:r>
      <w:r>
        <w:rPr>
          <w:rFonts w:ascii="UniMath" w:hAnsi="UniMath" w:cs="UniMath"/>
          <w:sz w:val="20"/>
          <w:szCs w:val="20"/>
          <w:lang w:val="en-IE"/>
        </w:rPr>
        <w:t>) that “</w:t>
      </w:r>
      <w:r>
        <w:rPr>
          <w:rFonts w:ascii="TimesLTStd-Roman" w:hAnsi="TimesLTStd-Roman" w:cs="TimesLTStd-Roman"/>
          <w:sz w:val="20"/>
          <w:szCs w:val="20"/>
          <w:lang w:val="en-IE"/>
        </w:rPr>
        <w:t xml:space="preserve">in translating data from other sources on US wealth concentration, Piketty changes the timing of observations in a manner that overstates the strength of the recent upward trend and obscures a downtrend present in his source data at the end of the sample period. </w:t>
      </w:r>
      <w:r>
        <w:rPr>
          <w:rFonts w:ascii="Times New Roman" w:hAnsi="Times New Roman"/>
          <w:sz w:val="20"/>
          <w:szCs w:val="20"/>
          <w:lang w:val="en-IE" w:eastAsia="it-IT"/>
        </w:rPr>
        <w:t>Other data sources - largely from administrative databases - suggest dramatically different trends in inequality (Bricker et al., 2016; Reynolds, 2006; Armour et al., 2013, 2014; Burkhauser et al., 2012; Fisher et al., 2013).</w:t>
      </w:r>
      <w:r>
        <w:rPr>
          <w:rFonts w:ascii="TimesLTStd-Roman" w:hAnsi="TimesLTStd-Roman" w:cs="TimesLTStd-Roman"/>
          <w:sz w:val="20"/>
          <w:szCs w:val="20"/>
          <w:lang w:val="en-IE"/>
        </w:rPr>
        <w:t xml:space="preserve"> </w:t>
      </w:r>
    </w:p>
    <w:p w:rsidR="00C273A1" w:rsidRDefault="00C273A1" w:rsidP="00155AE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More recently, also the theoretical framework and the methodological approach adopted by Piketty were challenged. French economists, especially, were critics of Piketty’s approach (Aghion, 2014). Although reviewing these topics</w:t>
      </w:r>
      <w:r>
        <w:rPr>
          <w:rFonts w:ascii="Times New Roman" w:hAnsi="Times New Roman"/>
          <w:sz w:val="20"/>
          <w:szCs w:val="20"/>
          <w:lang w:val="en-IE"/>
        </w:rPr>
        <w:t xml:space="preserve"> is out of our scope here, it may be useful to summarize some of the most important </w:t>
      </w:r>
      <w:r>
        <w:rPr>
          <w:rFonts w:ascii="Times New Roman" w:hAnsi="Times New Roman"/>
          <w:sz w:val="20"/>
          <w:szCs w:val="20"/>
        </w:rPr>
        <w:t xml:space="preserve">critical remarks. i) the definition of “capital as wealth” has been criticized as too ambiguous and not compatible with an approach based on a CES production function (Raval, 2017); ii) the definition of "capital" and “rent” and the choice to include houses in total capital has been questioned (Bonnet et. al, 2014, Rognlie, 2015); iii) </w:t>
      </w:r>
      <w:r w:rsidRPr="00FE536C">
        <w:rPr>
          <w:rFonts w:ascii="Times New Roman" w:hAnsi="Times New Roman"/>
          <w:sz w:val="20"/>
          <w:szCs w:val="20"/>
        </w:rPr>
        <w:t>a</w:t>
      </w:r>
      <w:r>
        <w:rPr>
          <w:rFonts w:ascii="Times New Roman" w:hAnsi="Times New Roman"/>
          <w:sz w:val="20"/>
          <w:szCs w:val="20"/>
        </w:rPr>
        <w:t xml:space="preserve"> radical critic of the Piketty’s “second fundamental law of capitalism” has been advanced by Krusell and Smith (2014). They argue that this law, “which embeds a theory of saving, is rather implausible; iv) </w:t>
      </w:r>
      <w:r w:rsidRPr="00FE536C">
        <w:rPr>
          <w:rFonts w:ascii="Times New Roman" w:hAnsi="Times New Roman"/>
          <w:sz w:val="20"/>
          <w:szCs w:val="20"/>
        </w:rPr>
        <w:t>so</w:t>
      </w:r>
      <w:r>
        <w:rPr>
          <w:rFonts w:ascii="Times New Roman" w:hAnsi="Times New Roman"/>
          <w:sz w:val="20"/>
          <w:szCs w:val="20"/>
        </w:rPr>
        <w:t>me doubts have been advanced on the hypothesis that the elasticity of substitution between capital and labor is likely to remain higher than one (Rognlie, 2016). v) Acemoglu and Robinson (2015) argue that Piketty didn’t took into account the role of institutions in shaping the inequality.</w:t>
      </w:r>
    </w:p>
    <w:p w:rsidR="00C273A1" w:rsidRDefault="00C273A1" w:rsidP="00155AE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Piketty answered to the numerous and different remarks writing some new papers and arguing that the arguments of the book have been “simplified in the telling and retelling” </w:t>
      </w:r>
      <w:r w:rsidRPr="00FE536C">
        <w:rPr>
          <w:rFonts w:ascii="Times New Roman" w:hAnsi="Times New Roman"/>
          <w:sz w:val="20"/>
          <w:szCs w:val="20"/>
        </w:rPr>
        <w:t>so that the original message was misunderstood. The factors that generate inequality, in income and wealth, Piketty argues, are many:</w:t>
      </w:r>
      <w:r>
        <w:rPr>
          <w:rFonts w:ascii="Times New Roman" w:hAnsi="Times New Roman"/>
          <w:sz w:val="20"/>
          <w:szCs w:val="20"/>
        </w:rPr>
        <w:t xml:space="preserve"> institutional, socio-economics and demographic (Piketty, 2015b).</w:t>
      </w:r>
      <w:r>
        <w:rPr>
          <w:rFonts w:ascii="Times New Roman" w:eastAsia="TimesNewRomanPSMT" w:hAnsi="Times New Roman"/>
          <w:sz w:val="20"/>
          <w:szCs w:val="20"/>
          <w:lang w:val="en-IE" w:eastAsia="it-IT"/>
        </w:rPr>
        <w:t xml:space="preserve"> </w:t>
      </w:r>
      <w:r>
        <w:rPr>
          <w:rFonts w:ascii="Times New Roman" w:hAnsi="Times New Roman"/>
          <w:sz w:val="20"/>
          <w:szCs w:val="20"/>
        </w:rPr>
        <w:t xml:space="preserve">The factors which explain the dynamic of wealth (accumulation of capital) are different from those which explain the dynamics of labor income (demand and supply of skills and education, technology). It is very difficult, therefore, to reach a consensus on a general and “shared theory” of the generation of wealth and income concentration. This issue deserves a deeper discussion starting from the </w:t>
      </w:r>
      <w:r>
        <w:rPr>
          <w:rFonts w:ascii="Times New Roman" w:hAnsi="Times New Roman"/>
          <w:bCs/>
          <w:sz w:val="20"/>
          <w:szCs w:val="20"/>
        </w:rPr>
        <w:t xml:space="preserve">“fundamental contradiction of capitalism”: the inequality </w:t>
      </w:r>
      <w:r>
        <w:rPr>
          <w:rFonts w:ascii="Times New Roman" w:hAnsi="Times New Roman"/>
          <w:bCs/>
          <w:i/>
          <w:iCs/>
          <w:sz w:val="20"/>
          <w:szCs w:val="20"/>
        </w:rPr>
        <w:t xml:space="preserve">r </w:t>
      </w:r>
      <w:r>
        <w:rPr>
          <w:rFonts w:ascii="Times New Roman" w:hAnsi="Times New Roman"/>
          <w:bCs/>
          <w:sz w:val="20"/>
          <w:szCs w:val="20"/>
        </w:rPr>
        <w:t xml:space="preserve">&gt; </w:t>
      </w:r>
      <w:r>
        <w:rPr>
          <w:rFonts w:ascii="Times New Roman" w:hAnsi="Times New Roman"/>
          <w:bCs/>
          <w:i/>
          <w:iCs/>
          <w:sz w:val="20"/>
          <w:szCs w:val="20"/>
        </w:rPr>
        <w:t>g</w:t>
      </w:r>
      <w:r>
        <w:rPr>
          <w:rFonts w:ascii="Times New Roman" w:hAnsi="Times New Roman"/>
          <w:bCs/>
          <w:iCs/>
          <w:sz w:val="20"/>
          <w:szCs w:val="20"/>
        </w:rPr>
        <w:t xml:space="preserve">. This inequality can be considered the most important relation between </w:t>
      </w:r>
      <w:r>
        <w:rPr>
          <w:rFonts w:ascii="Times New Roman" w:hAnsi="Times New Roman"/>
          <w:bCs/>
          <w:i/>
          <w:iCs/>
          <w:sz w:val="20"/>
          <w:szCs w:val="20"/>
        </w:rPr>
        <w:t>r</w:t>
      </w:r>
      <w:r>
        <w:rPr>
          <w:rFonts w:ascii="Times New Roman" w:hAnsi="Times New Roman"/>
          <w:bCs/>
          <w:iCs/>
          <w:sz w:val="20"/>
          <w:szCs w:val="20"/>
        </w:rPr>
        <w:t xml:space="preserve"> and </w:t>
      </w:r>
      <w:r>
        <w:rPr>
          <w:rFonts w:ascii="Times New Roman" w:hAnsi="Times New Roman"/>
          <w:bCs/>
          <w:i/>
          <w:iCs/>
          <w:sz w:val="20"/>
          <w:szCs w:val="20"/>
        </w:rPr>
        <w:t>g</w:t>
      </w:r>
      <w:r>
        <w:rPr>
          <w:rFonts w:ascii="Times New Roman" w:hAnsi="Times New Roman"/>
          <w:bCs/>
          <w:iCs/>
          <w:sz w:val="20"/>
          <w:szCs w:val="20"/>
        </w:rPr>
        <w:t xml:space="preserve"> that explains the rising concentration of wealth</w:t>
      </w:r>
      <w:r>
        <w:rPr>
          <w:rFonts w:ascii="Times New Roman" w:hAnsi="Times New Roman"/>
          <w:sz w:val="20"/>
          <w:szCs w:val="20"/>
        </w:rPr>
        <w:t xml:space="preserve"> and therefore of income.</w:t>
      </w:r>
    </w:p>
    <w:p w:rsidR="00C273A1" w:rsidRDefault="00C273A1" w:rsidP="00155AE6">
      <w:pPr>
        <w:spacing w:after="0" w:line="240" w:lineRule="auto"/>
        <w:jc w:val="both"/>
        <w:rPr>
          <w:rFonts w:ascii="Times New Roman" w:hAnsi="Times New Roman"/>
          <w:sz w:val="24"/>
          <w:szCs w:val="24"/>
        </w:rPr>
      </w:pPr>
    </w:p>
    <w:p w:rsidR="00C273A1" w:rsidRPr="0044502C" w:rsidRDefault="00C273A1" w:rsidP="00155AE6">
      <w:pPr>
        <w:pStyle w:val="Default"/>
        <w:jc w:val="both"/>
        <w:rPr>
          <w:color w:val="auto"/>
          <w:sz w:val="20"/>
          <w:szCs w:val="20"/>
        </w:rPr>
      </w:pPr>
    </w:p>
    <w:p w:rsidR="00C273A1" w:rsidRDefault="00C273A1" w:rsidP="00155AE6">
      <w:pPr>
        <w:pStyle w:val="Default"/>
        <w:jc w:val="both"/>
        <w:rPr>
          <w:color w:val="auto"/>
          <w:sz w:val="20"/>
          <w:szCs w:val="20"/>
        </w:rPr>
      </w:pPr>
      <w:r>
        <w:rPr>
          <w:b/>
          <w:bCs/>
          <w:color w:val="auto"/>
          <w:sz w:val="20"/>
          <w:szCs w:val="20"/>
        </w:rPr>
        <w:t xml:space="preserve">3. The “fundamental contradiction of capitalism”. The inequality </w:t>
      </w:r>
      <w:r>
        <w:rPr>
          <w:b/>
          <w:bCs/>
          <w:i/>
          <w:iCs/>
          <w:color w:val="auto"/>
          <w:sz w:val="20"/>
          <w:szCs w:val="20"/>
        </w:rPr>
        <w:t xml:space="preserve">r </w:t>
      </w:r>
      <w:r>
        <w:rPr>
          <w:b/>
          <w:bCs/>
          <w:color w:val="auto"/>
          <w:sz w:val="20"/>
          <w:szCs w:val="20"/>
        </w:rPr>
        <w:t xml:space="preserve">&gt; </w:t>
      </w:r>
      <w:r>
        <w:rPr>
          <w:b/>
          <w:bCs/>
          <w:i/>
          <w:iCs/>
          <w:color w:val="auto"/>
          <w:sz w:val="20"/>
          <w:szCs w:val="20"/>
        </w:rPr>
        <w:t xml:space="preserve">g </w:t>
      </w:r>
      <w:r>
        <w:rPr>
          <w:b/>
          <w:bCs/>
          <w:color w:val="auto"/>
          <w:sz w:val="20"/>
          <w:szCs w:val="20"/>
        </w:rPr>
        <w:t>in the long run</w:t>
      </w:r>
      <w:r>
        <w:rPr>
          <w:b/>
          <w:bCs/>
          <w:i/>
          <w:iCs/>
          <w:color w:val="auto"/>
          <w:sz w:val="20"/>
          <w:szCs w:val="20"/>
        </w:rPr>
        <w:t xml:space="preserve">. </w:t>
      </w:r>
    </w:p>
    <w:p w:rsidR="00C273A1" w:rsidRDefault="00C273A1" w:rsidP="00155AE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Piketty links in an innovative way the returns from capital to the rate of growth of national income. Trends of capital’s rent </w:t>
      </w:r>
      <w:r>
        <w:rPr>
          <w:rFonts w:ascii="Times New Roman" w:hAnsi="Times New Roman"/>
          <w:i/>
          <w:sz w:val="20"/>
          <w:szCs w:val="20"/>
        </w:rPr>
        <w:t xml:space="preserve">r </w:t>
      </w:r>
      <w:r>
        <w:rPr>
          <w:rFonts w:ascii="Times New Roman" w:hAnsi="Times New Roman"/>
          <w:sz w:val="20"/>
          <w:szCs w:val="20"/>
        </w:rPr>
        <w:t xml:space="preserve">and of income growth rate </w:t>
      </w:r>
      <w:r>
        <w:rPr>
          <w:rFonts w:ascii="Times New Roman" w:hAnsi="Times New Roman"/>
          <w:i/>
          <w:sz w:val="20"/>
          <w:szCs w:val="20"/>
        </w:rPr>
        <w:t xml:space="preserve">g </w:t>
      </w:r>
      <w:r>
        <w:rPr>
          <w:rFonts w:ascii="Times New Roman" w:hAnsi="Times New Roman"/>
          <w:sz w:val="20"/>
          <w:szCs w:val="20"/>
        </w:rPr>
        <w:t>are compared in a macroeconomic framework. From this</w:t>
      </w:r>
      <w:r>
        <w:rPr>
          <w:rFonts w:ascii="Times New Roman" w:hAnsi="Times New Roman"/>
          <w:color w:val="FF0000"/>
          <w:sz w:val="20"/>
          <w:szCs w:val="20"/>
        </w:rPr>
        <w:t xml:space="preserve"> </w:t>
      </w:r>
      <w:r>
        <w:rPr>
          <w:rFonts w:ascii="Times New Roman" w:hAnsi="Times New Roman"/>
          <w:sz w:val="20"/>
          <w:szCs w:val="20"/>
        </w:rPr>
        <w:t xml:space="preserve">relation Piketty derives the value of the concentration of wealth, that of capital incomes and, finally, from the inequality in the distribution of capital income, the inequality in the personal income distribution. </w:t>
      </w:r>
      <w:r>
        <w:rPr>
          <w:rFonts w:ascii="Times New Roman" w:hAnsi="Times New Roman"/>
          <w:bCs/>
          <w:sz w:val="20"/>
          <w:szCs w:val="20"/>
        </w:rPr>
        <w:t xml:space="preserve">Piketty shows how the gap </w:t>
      </w:r>
      <w:r>
        <w:rPr>
          <w:rFonts w:ascii="Times New Roman" w:hAnsi="Times New Roman"/>
          <w:i/>
          <w:iCs/>
          <w:sz w:val="20"/>
          <w:szCs w:val="20"/>
        </w:rPr>
        <w:t xml:space="preserve">r </w:t>
      </w:r>
      <w:r>
        <w:rPr>
          <w:rFonts w:ascii="Times New Roman" w:hAnsi="Times New Roman"/>
          <w:sz w:val="20"/>
          <w:szCs w:val="20"/>
        </w:rPr>
        <w:t xml:space="preserve">− </w:t>
      </w:r>
      <w:r>
        <w:rPr>
          <w:rFonts w:ascii="Times New Roman" w:hAnsi="Times New Roman"/>
          <w:i/>
          <w:iCs/>
          <w:sz w:val="20"/>
          <w:szCs w:val="20"/>
        </w:rPr>
        <w:t>g</w:t>
      </w:r>
      <w:r>
        <w:rPr>
          <w:rFonts w:ascii="Times New Roman" w:hAnsi="Times New Roman"/>
          <w:bCs/>
          <w:sz w:val="20"/>
          <w:szCs w:val="20"/>
        </w:rPr>
        <w:t xml:space="preserve"> is directly linked to the </w:t>
      </w:r>
      <w:r>
        <w:rPr>
          <w:rFonts w:ascii="Times New Roman" w:hAnsi="Times New Roman"/>
          <w:sz w:val="20"/>
          <w:szCs w:val="20"/>
        </w:rPr>
        <w:t xml:space="preserve">inverted Pareto coefficient of the wealth distribution. The analytical model (rather mathematical in nature), that explains the relationship between the rate of return of capital, the rate of growth of the economy and the concentration of wealth, is developed in two papers subsequent to the </w:t>
      </w:r>
      <w:r>
        <w:rPr>
          <w:rFonts w:ascii="Times New Roman" w:hAnsi="Times New Roman"/>
          <w:i/>
          <w:sz w:val="20"/>
          <w:szCs w:val="20"/>
        </w:rPr>
        <w:t>Capital in the Twenty-First Century</w:t>
      </w:r>
      <w:r>
        <w:rPr>
          <w:rFonts w:ascii="Times New Roman" w:hAnsi="Times New Roman"/>
          <w:sz w:val="20"/>
          <w:szCs w:val="20"/>
        </w:rPr>
        <w:t xml:space="preserve"> (Piketty, 2015a, Piketty and Zucman, 2015). Piketty claims that when</w:t>
      </w:r>
      <w:r>
        <w:rPr>
          <w:rFonts w:ascii="Times New Roman" w:hAnsi="Times New Roman"/>
          <w:i/>
          <w:sz w:val="20"/>
          <w:szCs w:val="20"/>
        </w:rPr>
        <w:t xml:space="preserve"> r&gt;g</w:t>
      </w:r>
      <w:r>
        <w:rPr>
          <w:rFonts w:ascii="Times New Roman" w:hAnsi="Times New Roman"/>
          <w:sz w:val="20"/>
          <w:szCs w:val="20"/>
        </w:rPr>
        <w:t xml:space="preserve"> capital grows faster than the economy the concentration of capital will attain extremely high levels (Piketty, 2014a, p. 25). Piketty argues, also, that the effect “of </w:t>
      </w:r>
      <w:r>
        <w:rPr>
          <w:rFonts w:ascii="Times New Roman" w:hAnsi="Times New Roman"/>
          <w:i/>
          <w:iCs/>
          <w:sz w:val="20"/>
          <w:szCs w:val="20"/>
        </w:rPr>
        <w:t xml:space="preserve">r-g </w:t>
      </w:r>
      <w:r>
        <w:rPr>
          <w:rFonts w:ascii="Times New Roman" w:hAnsi="Times New Roman"/>
          <w:sz w:val="20"/>
          <w:szCs w:val="20"/>
        </w:rPr>
        <w:t xml:space="preserve">on inequality follows from its dynamic cumulative effects in wealth accumulation models with random shocks, and the quantitative magnitude of this impact seems to be sufficiently large to account for very important variations in wealth inequality” (Piketty, 2015b, p. 75-76). </w:t>
      </w:r>
      <w:r w:rsidRPr="00FE536C">
        <w:rPr>
          <w:rFonts w:ascii="Times New Roman" w:hAnsi="Times New Roman"/>
          <w:sz w:val="20"/>
          <w:szCs w:val="20"/>
        </w:rPr>
        <w:t>Over a wide range</w:t>
      </w:r>
      <w:r>
        <w:rPr>
          <w:rFonts w:ascii="Times New Roman" w:hAnsi="Times New Roman"/>
          <w:sz w:val="20"/>
          <w:szCs w:val="20"/>
        </w:rPr>
        <w:t xml:space="preserve"> of models, the long-run magnitude and concentration of wealth and inheritance are a decreasing function of </w:t>
      </w:r>
      <w:r>
        <w:rPr>
          <w:rFonts w:ascii="Times New Roman" w:hAnsi="Times New Roman"/>
          <w:i/>
          <w:sz w:val="20"/>
          <w:szCs w:val="20"/>
        </w:rPr>
        <w:t>g</w:t>
      </w:r>
      <w:r>
        <w:rPr>
          <w:rFonts w:ascii="Times New Roman" w:hAnsi="Times New Roman"/>
          <w:sz w:val="20"/>
          <w:szCs w:val="20"/>
        </w:rPr>
        <w:t xml:space="preserve"> and an increasing function of</w:t>
      </w:r>
      <w:r>
        <w:rPr>
          <w:rFonts w:ascii="Times New Roman" w:hAnsi="Times New Roman"/>
          <w:i/>
          <w:sz w:val="20"/>
          <w:szCs w:val="20"/>
        </w:rPr>
        <w:t xml:space="preserve"> r</w:t>
      </w:r>
      <w:r>
        <w:rPr>
          <w:rFonts w:ascii="Times New Roman" w:hAnsi="Times New Roman"/>
          <w:sz w:val="20"/>
          <w:szCs w:val="20"/>
        </w:rPr>
        <w:t xml:space="preserve">. Under fairly general conditions, if shocks take a multiplicative form, the top tail of the distribution of wealth converges toward a Pareto distribution. The inverted Pareto coefficient (measuring the thickness of the upper tail and hence the inequality of the distribution) increases with the gap between </w:t>
      </w:r>
      <w:r>
        <w:rPr>
          <w:rFonts w:ascii="Times New Roman" w:hAnsi="Times New Roman"/>
          <w:i/>
          <w:sz w:val="20"/>
          <w:szCs w:val="20"/>
        </w:rPr>
        <w:t>r</w:t>
      </w:r>
      <w:r>
        <w:rPr>
          <w:rFonts w:ascii="Times New Roman" w:hAnsi="Times New Roman"/>
          <w:sz w:val="20"/>
          <w:szCs w:val="20"/>
        </w:rPr>
        <w:t xml:space="preserve"> and </w:t>
      </w:r>
      <w:r>
        <w:rPr>
          <w:rFonts w:ascii="Times New Roman" w:hAnsi="Times New Roman"/>
          <w:i/>
          <w:sz w:val="20"/>
          <w:szCs w:val="20"/>
        </w:rPr>
        <w:t>g</w:t>
      </w:r>
      <w:r>
        <w:rPr>
          <w:rFonts w:ascii="Times New Roman" w:hAnsi="Times New Roman"/>
          <w:sz w:val="20"/>
          <w:szCs w:val="20"/>
        </w:rPr>
        <w:t xml:space="preserve">. A decrease in </w:t>
      </w:r>
      <w:r>
        <w:rPr>
          <w:rFonts w:ascii="Times New Roman" w:hAnsi="Times New Roman"/>
          <w:i/>
          <w:sz w:val="20"/>
          <w:szCs w:val="20"/>
        </w:rPr>
        <w:t xml:space="preserve">g </w:t>
      </w:r>
      <w:r>
        <w:rPr>
          <w:rFonts w:ascii="Times New Roman" w:hAnsi="Times New Roman"/>
          <w:sz w:val="20"/>
          <w:szCs w:val="20"/>
        </w:rPr>
        <w:t xml:space="preserve">is inevitable once countries have reached a very high level of income. It is the “dead hand” of the past generations (high </w:t>
      </w:r>
      <w:r>
        <w:rPr>
          <w:rFonts w:ascii="Times New Roman" w:hAnsi="Times New Roman"/>
          <w:i/>
          <w:sz w:val="20"/>
          <w:szCs w:val="20"/>
        </w:rPr>
        <w:t>β</w:t>
      </w:r>
      <w:r>
        <w:rPr>
          <w:rFonts w:ascii="Times New Roman" w:hAnsi="Times New Roman"/>
          <w:sz w:val="20"/>
          <w:szCs w:val="20"/>
        </w:rPr>
        <w:t xml:space="preserve"> ratio) and the high returns on capital that destroy the fabric of today’s advanced capitalist societies (Piketty, 2014a, p. 942). The way by which wealth is accumulated and distributed contains </w:t>
      </w:r>
      <w:r w:rsidRPr="00FE536C">
        <w:rPr>
          <w:rFonts w:ascii="Times New Roman" w:hAnsi="Times New Roman"/>
          <w:sz w:val="20"/>
          <w:szCs w:val="20"/>
        </w:rPr>
        <w:t>forces pushing toward an extremely high level of inequality.</w:t>
      </w:r>
      <w:r>
        <w:rPr>
          <w:rFonts w:ascii="Times New Roman" w:hAnsi="Times New Roman"/>
          <w:sz w:val="20"/>
          <w:szCs w:val="20"/>
        </w:rPr>
        <w:t xml:space="preserve"> Capital accumulation generates changes in the functional distribution of income in </w:t>
      </w:r>
      <w:r w:rsidRPr="00FE536C">
        <w:rPr>
          <w:rFonts w:ascii="Times New Roman" w:hAnsi="Times New Roman"/>
          <w:sz w:val="20"/>
          <w:szCs w:val="20"/>
        </w:rPr>
        <w:t>favour</w:t>
      </w:r>
      <w:r>
        <w:rPr>
          <w:rFonts w:ascii="Times New Roman" w:hAnsi="Times New Roman"/>
          <w:sz w:val="20"/>
          <w:szCs w:val="20"/>
        </w:rPr>
        <w:t xml:space="preserve"> of capital. Because incomes from capital are more concentrated than incomes from labor, also the personal income distribution will become more unequal. </w:t>
      </w:r>
      <w:r w:rsidRPr="00FE536C">
        <w:rPr>
          <w:rFonts w:ascii="Times New Roman" w:hAnsi="Times New Roman"/>
          <w:sz w:val="20"/>
          <w:szCs w:val="20"/>
        </w:rPr>
        <w:t>A vicious circle of ever-growing dynastic wealth starts, which cannot be reduced by an additional level of competition. This inequality is the fundamental contradiction of the patrimonial capitalism (Piketty, 2014a, p. 298).</w:t>
      </w:r>
    </w:p>
    <w:p w:rsidR="00C273A1" w:rsidRDefault="00C273A1" w:rsidP="00155AE6">
      <w:pPr>
        <w:spacing w:after="0" w:line="240" w:lineRule="auto"/>
        <w:jc w:val="both"/>
        <w:rPr>
          <w:rFonts w:ascii="Times New Roman" w:hAnsi="Times New Roman"/>
          <w:sz w:val="20"/>
          <w:szCs w:val="20"/>
        </w:rPr>
      </w:pPr>
      <w:r>
        <w:rPr>
          <w:rFonts w:ascii="Times New Roman" w:hAnsi="Times New Roman"/>
          <w:sz w:val="20"/>
          <w:szCs w:val="20"/>
        </w:rPr>
        <w:t xml:space="preserve">The relationship between the inequality </w:t>
      </w:r>
      <w:r>
        <w:rPr>
          <w:rFonts w:ascii="Times New Roman" w:hAnsi="Times New Roman"/>
          <w:i/>
          <w:iCs/>
          <w:sz w:val="20"/>
          <w:szCs w:val="20"/>
        </w:rPr>
        <w:t xml:space="preserve">r </w:t>
      </w:r>
      <w:r>
        <w:rPr>
          <w:rFonts w:ascii="Times New Roman" w:hAnsi="Times New Roman"/>
          <w:sz w:val="20"/>
          <w:szCs w:val="20"/>
        </w:rPr>
        <w:t xml:space="preserve">&gt; </w:t>
      </w:r>
      <w:r>
        <w:rPr>
          <w:rFonts w:ascii="Times New Roman" w:hAnsi="Times New Roman"/>
          <w:i/>
          <w:iCs/>
          <w:sz w:val="20"/>
          <w:szCs w:val="20"/>
        </w:rPr>
        <w:t xml:space="preserve">g </w:t>
      </w:r>
      <w:r>
        <w:rPr>
          <w:rFonts w:ascii="Times New Roman" w:hAnsi="Times New Roman"/>
          <w:iCs/>
          <w:sz w:val="20"/>
          <w:szCs w:val="20"/>
        </w:rPr>
        <w:t>and a rising concentration of wealth</w:t>
      </w:r>
      <w:r>
        <w:rPr>
          <w:rFonts w:ascii="Times New Roman" w:hAnsi="Times New Roman"/>
          <w:sz w:val="20"/>
          <w:szCs w:val="20"/>
        </w:rPr>
        <w:t xml:space="preserve"> has been criticized under different respects</w:t>
      </w:r>
      <w:r w:rsidRPr="00AD7678">
        <w:rPr>
          <w:rFonts w:ascii="Times New Roman" w:hAnsi="Times New Roman"/>
          <w:sz w:val="20"/>
          <w:szCs w:val="20"/>
        </w:rPr>
        <w:t>. Firstly it</w:t>
      </w:r>
      <w:r>
        <w:rPr>
          <w:rFonts w:ascii="Times New Roman" w:hAnsi="Times New Roman"/>
          <w:sz w:val="20"/>
          <w:szCs w:val="20"/>
        </w:rPr>
        <w:t xml:space="preserve"> has been considered weak from the theoretical point of view. Debraj Ray (2014, p. 9) argues that the inequality </w:t>
      </w:r>
      <w:r>
        <w:rPr>
          <w:rFonts w:ascii="Times New Roman" w:hAnsi="Times New Roman"/>
          <w:i/>
          <w:iCs/>
          <w:sz w:val="20"/>
          <w:szCs w:val="20"/>
        </w:rPr>
        <w:t xml:space="preserve">r </w:t>
      </w:r>
      <w:r>
        <w:rPr>
          <w:rFonts w:ascii="Times New Roman" w:hAnsi="Times New Roman"/>
          <w:sz w:val="20"/>
          <w:szCs w:val="20"/>
        </w:rPr>
        <w:t xml:space="preserve">&gt; </w:t>
      </w:r>
      <w:r>
        <w:rPr>
          <w:rFonts w:ascii="Times New Roman" w:hAnsi="Times New Roman"/>
          <w:i/>
          <w:iCs/>
          <w:sz w:val="20"/>
          <w:szCs w:val="20"/>
        </w:rPr>
        <w:t xml:space="preserve">g </w:t>
      </w:r>
      <w:r>
        <w:rPr>
          <w:rFonts w:ascii="Times New Roman" w:hAnsi="Times New Roman"/>
          <w:sz w:val="20"/>
          <w:szCs w:val="20"/>
        </w:rPr>
        <w:t xml:space="preserve">is mainly a condition of economic efficiency. An economy where r &lt;g is inefficient in the sense that it has been saved too much. The r&gt;g relationship does not tell us anything more. It does not tell us anything about increasing inequalities in the wealth distribution. Only a detailed study of inheritance can enlighten us as to whether inheritances are key factors in explaining </w:t>
      </w:r>
      <w:r w:rsidRPr="00AD7678">
        <w:rPr>
          <w:rFonts w:ascii="Times New Roman" w:hAnsi="Times New Roman"/>
          <w:sz w:val="20"/>
          <w:szCs w:val="20"/>
        </w:rPr>
        <w:t>rising</w:t>
      </w:r>
      <w:r>
        <w:rPr>
          <w:rFonts w:ascii="Times New Roman" w:hAnsi="Times New Roman"/>
          <w:sz w:val="20"/>
          <w:szCs w:val="20"/>
        </w:rPr>
        <w:t xml:space="preserve"> inequalities. Mankiw (2015, p.43) argues that r&gt;s is an equilibrium condition in neoclassical models. Their existence means that “we live in a world in which any dynamic Pareto improvements has been unexploited… There is, moreover, good reason to doubt that </w:t>
      </w:r>
      <w:r>
        <w:rPr>
          <w:rFonts w:ascii="Times New Roman" w:hAnsi="Times New Roman"/>
          <w:i/>
          <w:iCs/>
          <w:sz w:val="20"/>
          <w:szCs w:val="20"/>
        </w:rPr>
        <w:t xml:space="preserve">r </w:t>
      </w:r>
      <w:r>
        <w:rPr>
          <w:rFonts w:ascii="Times New Roman" w:hAnsi="Times New Roman"/>
          <w:sz w:val="20"/>
          <w:szCs w:val="20"/>
        </w:rPr>
        <w:t xml:space="preserve">&gt; </w:t>
      </w:r>
      <w:r>
        <w:rPr>
          <w:rFonts w:ascii="Times New Roman" w:hAnsi="Times New Roman"/>
          <w:i/>
          <w:iCs/>
          <w:sz w:val="20"/>
          <w:szCs w:val="20"/>
        </w:rPr>
        <w:t xml:space="preserve">g </w:t>
      </w:r>
      <w:r>
        <w:rPr>
          <w:rFonts w:ascii="Times New Roman" w:hAnsi="Times New Roman"/>
          <w:sz w:val="20"/>
          <w:szCs w:val="20"/>
        </w:rPr>
        <w:t xml:space="preserve">leads to the “endless inegalitarian spiral” that Piketty describes... Piketty reasons that resources of the wealthy would grow relative to the labor income if   </w:t>
      </w:r>
      <w:r>
        <w:rPr>
          <w:rFonts w:ascii="Times New Roman" w:hAnsi="Times New Roman"/>
          <w:i/>
          <w:iCs/>
          <w:sz w:val="20"/>
          <w:szCs w:val="20"/>
        </w:rPr>
        <w:t xml:space="preserve">r </w:t>
      </w:r>
      <w:r>
        <w:rPr>
          <w:rFonts w:ascii="Times New Roman" w:hAnsi="Times New Roman"/>
          <w:sz w:val="20"/>
          <w:szCs w:val="20"/>
        </w:rPr>
        <w:t xml:space="preserve">&gt; </w:t>
      </w:r>
      <w:r>
        <w:rPr>
          <w:rFonts w:ascii="Times New Roman" w:hAnsi="Times New Roman"/>
          <w:i/>
          <w:iCs/>
          <w:sz w:val="20"/>
          <w:szCs w:val="20"/>
        </w:rPr>
        <w:t>g</w:t>
      </w:r>
      <w:r>
        <w:rPr>
          <w:rFonts w:ascii="Times New Roman" w:hAnsi="Times New Roman"/>
          <w:sz w:val="20"/>
          <w:szCs w:val="20"/>
        </w:rPr>
        <w:t xml:space="preserve">. We can now see, however, that this condition is not sufficient once consumption, procreation, and taxation are accounted for. Instead, to obtain the worrisome “endless inegalitarian spiral,” we would need the return on capital </w:t>
      </w:r>
      <w:r>
        <w:rPr>
          <w:rFonts w:ascii="Times New Roman" w:hAnsi="Times New Roman"/>
          <w:i/>
          <w:iCs/>
          <w:sz w:val="20"/>
          <w:szCs w:val="20"/>
        </w:rPr>
        <w:t xml:space="preserve">r </w:t>
      </w:r>
      <w:r>
        <w:rPr>
          <w:rFonts w:ascii="Times New Roman" w:hAnsi="Times New Roman"/>
          <w:sz w:val="20"/>
          <w:szCs w:val="20"/>
        </w:rPr>
        <w:t xml:space="preserve">to exceed the economy’s growth </w:t>
      </w:r>
      <w:r>
        <w:rPr>
          <w:rFonts w:ascii="Times New Roman" w:hAnsi="Times New Roman"/>
          <w:i/>
          <w:iCs/>
          <w:sz w:val="20"/>
          <w:szCs w:val="20"/>
        </w:rPr>
        <w:t xml:space="preserve">g </w:t>
      </w:r>
      <w:r>
        <w:rPr>
          <w:rFonts w:ascii="Times New Roman" w:hAnsi="Times New Roman"/>
          <w:sz w:val="20"/>
          <w:szCs w:val="20"/>
        </w:rPr>
        <w:t>by at least 7 percentage points per year” (Mankiw, 2015, p.44).</w:t>
      </w:r>
    </w:p>
    <w:p w:rsidR="00C273A1" w:rsidRDefault="00C273A1" w:rsidP="00155AE6">
      <w:pPr>
        <w:spacing w:after="0" w:line="240" w:lineRule="auto"/>
        <w:jc w:val="both"/>
        <w:rPr>
          <w:rFonts w:ascii="Times New Roman" w:hAnsi="Times New Roman"/>
          <w:bCs/>
          <w:sz w:val="20"/>
          <w:szCs w:val="20"/>
        </w:rPr>
      </w:pPr>
      <w:r>
        <w:rPr>
          <w:rFonts w:ascii="Times New Roman" w:hAnsi="Times New Roman"/>
          <w:sz w:val="20"/>
          <w:szCs w:val="20"/>
        </w:rPr>
        <w:t xml:space="preserve">In the Piketty model capital </w:t>
      </w:r>
      <w:r>
        <w:rPr>
          <w:rFonts w:ascii="Times New Roman" w:hAnsi="Times New Roman"/>
          <w:iCs/>
          <w:sz w:val="20"/>
          <w:szCs w:val="20"/>
        </w:rPr>
        <w:t xml:space="preserve">income </w:t>
      </w:r>
      <w:r>
        <w:rPr>
          <w:rFonts w:ascii="Times New Roman" w:hAnsi="Times New Roman"/>
          <w:sz w:val="20"/>
          <w:szCs w:val="20"/>
        </w:rPr>
        <w:t xml:space="preserve">grows as a share of national income because the rate of return does not fall sufficiently fast with capital deepening. This argument is based on the empirical evidence collected by Piketty but it is running against one of the fundamentals of economic theory: decreasing returns to an abundant factor of production (Milanovic 2014). When the capital/output ratio increases, the marginal return to capital </w:t>
      </w:r>
      <w:r>
        <w:rPr>
          <w:rFonts w:ascii="Times New Roman" w:hAnsi="Times New Roman"/>
          <w:i/>
          <w:iCs/>
          <w:sz w:val="20"/>
          <w:szCs w:val="20"/>
        </w:rPr>
        <w:t>r</w:t>
      </w:r>
      <w:r>
        <w:rPr>
          <w:rFonts w:ascii="Times New Roman" w:hAnsi="Times New Roman"/>
          <w:sz w:val="20"/>
          <w:szCs w:val="20"/>
        </w:rPr>
        <w:t xml:space="preserve"> should go down. Stiglitz (2014) argues that Institutions and policies (banking and finance) can explain the “Piketty puzzle” of a rising wealth/income ratio together with a rise in </w:t>
      </w:r>
      <w:r>
        <w:rPr>
          <w:rFonts w:ascii="Times New Roman" w:hAnsi="Times New Roman"/>
          <w:i/>
          <w:sz w:val="20"/>
          <w:szCs w:val="20"/>
        </w:rPr>
        <w:t>r</w:t>
      </w:r>
      <w:r>
        <w:rPr>
          <w:rFonts w:ascii="Times New Roman" w:hAnsi="Times New Roman"/>
          <w:sz w:val="20"/>
          <w:szCs w:val="20"/>
        </w:rPr>
        <w:t xml:space="preserve"> and stable wages. </w:t>
      </w:r>
      <w:r w:rsidRPr="00CA55DB">
        <w:rPr>
          <w:rFonts w:ascii="Times New Roman" w:hAnsi="Times New Roman"/>
          <w:sz w:val="20"/>
          <w:szCs w:val="20"/>
        </w:rPr>
        <w:t>Also from the empirical side the Piketty’s argument can be considered weak. Rognlie (2014) argues that when converted from gross to net terms, standard empirical estimates of the elasticity of substitution between capital and labor are well below those assumed by Piketty. Rising capital/income ratio, which depends partly on rising market prices, is more likely to be associated with a substantial decrease in capital’s net share of income, not with an increase. In this case r − g is likely to fall and not to increase as well.</w:t>
      </w:r>
      <w:r w:rsidRPr="00CA55DB">
        <w:rPr>
          <w:rFonts w:ascii="Times New Roman" w:hAnsi="Times New Roman"/>
          <w:bCs/>
          <w:sz w:val="20"/>
          <w:szCs w:val="20"/>
        </w:rPr>
        <w:t xml:space="preserve"> </w:t>
      </w:r>
    </w:p>
    <w:p w:rsidR="00C273A1" w:rsidRPr="00EE64D4" w:rsidRDefault="00C273A1" w:rsidP="00155AE6">
      <w:pPr>
        <w:spacing w:after="0" w:line="240" w:lineRule="auto"/>
        <w:jc w:val="both"/>
        <w:rPr>
          <w:rFonts w:ascii="Times New Roman" w:hAnsi="Times New Roman"/>
          <w:i/>
          <w:sz w:val="20"/>
          <w:szCs w:val="20"/>
        </w:rPr>
      </w:pPr>
      <w:r w:rsidRPr="00AD7678">
        <w:rPr>
          <w:rFonts w:ascii="Times New Roman" w:hAnsi="Times New Roman"/>
          <w:sz w:val="20"/>
          <w:szCs w:val="20"/>
        </w:rPr>
        <w:t>Also the Piketty’s time series,</w:t>
      </w:r>
      <w:r w:rsidRPr="00CA55DB">
        <w:rPr>
          <w:rFonts w:ascii="Times New Roman" w:hAnsi="Times New Roman"/>
          <w:sz w:val="20"/>
          <w:szCs w:val="20"/>
        </w:rPr>
        <w:t xml:space="preserve"> based on after-tax rates of return, faces two shortcomings. “First, the tax rates used to calculate the after-tax returns on capital in Piketty and Zucman (2014) are average tax rates. But given the book’s focus on the share of wealth held by the top 1 percent and even the top 0.1 percent, the relevant tax policy parameter seems to be the top marginal tax rate rather than the average tax rate. Second, Piketty calculates the return on capital based on national accounts data and does not adjust for risk” (Auerback, Hasset, 2015, p.39). </w:t>
      </w:r>
      <w:r w:rsidRPr="00EE64D4">
        <w:rPr>
          <w:rFonts w:ascii="Times New Roman" w:hAnsi="Times New Roman"/>
          <w:sz w:val="20"/>
          <w:szCs w:val="20"/>
        </w:rPr>
        <w:t>Relying on an alternative time-series on the after-tax rates of return in the United States, that takes into account marginal tax rates and it is adjusted for risk, Auerback, Hasset (2015, p.39) find that the post-tax rate of return remains consi</w:t>
      </w:r>
      <w:r>
        <w:rPr>
          <w:rFonts w:ascii="Times New Roman" w:hAnsi="Times New Roman"/>
          <w:sz w:val="20"/>
          <w:szCs w:val="20"/>
        </w:rPr>
        <w:t xml:space="preserve">stently lower than GNP growth. </w:t>
      </w:r>
      <w:r w:rsidRPr="00AD7678">
        <w:rPr>
          <w:rFonts w:ascii="Times New Roman" w:hAnsi="Times New Roman"/>
          <w:sz w:val="20"/>
          <w:szCs w:val="20"/>
        </w:rPr>
        <w:t xml:space="preserve">From this perspective, the apocalyptic </w:t>
      </w:r>
      <w:r w:rsidRPr="00AD7678">
        <w:rPr>
          <w:rFonts w:ascii="Times New Roman" w:hAnsi="Times New Roman"/>
          <w:i/>
          <w:iCs/>
          <w:sz w:val="20"/>
          <w:szCs w:val="20"/>
        </w:rPr>
        <w:t xml:space="preserve">r </w:t>
      </w:r>
      <w:r w:rsidRPr="00AD7678">
        <w:rPr>
          <w:rFonts w:ascii="Times New Roman" w:hAnsi="Times New Roman"/>
          <w:sz w:val="20"/>
          <w:szCs w:val="20"/>
        </w:rPr>
        <w:t xml:space="preserve">&gt; </w:t>
      </w:r>
      <w:r w:rsidRPr="00AD7678">
        <w:rPr>
          <w:rFonts w:ascii="Times New Roman" w:hAnsi="Times New Roman"/>
          <w:i/>
          <w:iCs/>
          <w:sz w:val="20"/>
          <w:szCs w:val="20"/>
        </w:rPr>
        <w:t xml:space="preserve">g </w:t>
      </w:r>
      <w:r w:rsidRPr="00AD7678">
        <w:rPr>
          <w:rFonts w:ascii="Times New Roman" w:hAnsi="Times New Roman"/>
          <w:sz w:val="20"/>
          <w:szCs w:val="20"/>
        </w:rPr>
        <w:t>“exploding wealth inequality” scenario does not look especially likely.</w:t>
      </w:r>
    </w:p>
    <w:p w:rsidR="00C273A1" w:rsidRPr="002A3F9B" w:rsidRDefault="00C273A1" w:rsidP="00155AE6">
      <w:pPr>
        <w:autoSpaceDE w:val="0"/>
        <w:autoSpaceDN w:val="0"/>
        <w:adjustRightInd w:val="0"/>
        <w:spacing w:after="0" w:line="240" w:lineRule="auto"/>
        <w:jc w:val="both"/>
        <w:rPr>
          <w:rFonts w:ascii="Times New Roman" w:hAnsi="Times New Roman"/>
          <w:sz w:val="20"/>
          <w:szCs w:val="20"/>
        </w:rPr>
      </w:pPr>
      <w:r>
        <w:rPr>
          <w:rFonts w:ascii="Times New Roman" w:hAnsi="Times New Roman"/>
          <w:bCs/>
          <w:sz w:val="20"/>
          <w:szCs w:val="20"/>
        </w:rPr>
        <w:t xml:space="preserve">Piketty </w:t>
      </w:r>
      <w:r w:rsidRPr="00AD7678">
        <w:rPr>
          <w:rFonts w:ascii="Times New Roman" w:hAnsi="Times New Roman"/>
          <w:bCs/>
          <w:sz w:val="20"/>
          <w:szCs w:val="20"/>
        </w:rPr>
        <w:t>a</w:t>
      </w:r>
      <w:r w:rsidRPr="00AD7678">
        <w:rPr>
          <w:rFonts w:ascii="Times New Roman" w:hAnsi="Times New Roman"/>
          <w:sz w:val="20"/>
          <w:szCs w:val="20"/>
        </w:rPr>
        <w:t>nswered</w:t>
      </w:r>
      <w:r>
        <w:rPr>
          <w:rFonts w:ascii="Times New Roman" w:hAnsi="Times New Roman"/>
          <w:sz w:val="20"/>
          <w:szCs w:val="20"/>
        </w:rPr>
        <w:t xml:space="preserve"> to these critics claiming that he is well aware that </w:t>
      </w:r>
      <w:r>
        <w:rPr>
          <w:rFonts w:ascii="Times New Roman" w:hAnsi="Times New Roman"/>
          <w:i/>
          <w:iCs/>
          <w:sz w:val="20"/>
          <w:szCs w:val="20"/>
        </w:rPr>
        <w:t xml:space="preserve">r </w:t>
      </w:r>
      <w:r>
        <w:rPr>
          <w:rFonts w:ascii="Times New Roman" w:hAnsi="Times New Roman"/>
          <w:sz w:val="20"/>
          <w:szCs w:val="20"/>
        </w:rPr>
        <w:t xml:space="preserve">&gt; </w:t>
      </w:r>
      <w:r>
        <w:rPr>
          <w:rFonts w:ascii="Times New Roman" w:hAnsi="Times New Roman"/>
          <w:i/>
          <w:iCs/>
          <w:sz w:val="20"/>
          <w:szCs w:val="20"/>
        </w:rPr>
        <w:t xml:space="preserve">g </w:t>
      </w:r>
      <w:r>
        <w:rPr>
          <w:rFonts w:ascii="Times New Roman" w:hAnsi="Times New Roman"/>
          <w:iCs/>
          <w:sz w:val="20"/>
          <w:szCs w:val="20"/>
        </w:rPr>
        <w:t>cannot be</w:t>
      </w:r>
      <w:r>
        <w:rPr>
          <w:rFonts w:ascii="Times New Roman" w:hAnsi="Times New Roman"/>
          <w:sz w:val="20"/>
          <w:szCs w:val="20"/>
        </w:rPr>
        <w:t xml:space="preserve"> the only or even the primary tool for explaining changes in wealth and therefore in income inequality. Institutional changes and political shocks, which can be considered endogenous to the inequality and to the development process itself, are also very important (Piketty, 2015a, p. 48). In the real world, many shocks to the wealth trajectories of families can contribute to make the wealth distribution highly unequal. These shocks are related to financial or estates rate of return, demographic factors, differences in saving </w:t>
      </w:r>
      <w:r w:rsidRPr="00AD7678">
        <w:rPr>
          <w:rFonts w:ascii="Times New Roman" w:hAnsi="Times New Roman"/>
          <w:sz w:val="20"/>
          <w:szCs w:val="20"/>
        </w:rPr>
        <w:t>behaviour, differences</w:t>
      </w:r>
      <w:r>
        <w:rPr>
          <w:rFonts w:ascii="Times New Roman" w:hAnsi="Times New Roman"/>
          <w:sz w:val="20"/>
          <w:szCs w:val="20"/>
        </w:rPr>
        <w:t xml:space="preserve"> in propensity to invest, differences in taste parameters, in labor market features, in the institutional and political setting. Differences in earnings to be saved and cumulated are also important shocks. Wealthier people can obtain higher average returns than less wealthy people. Unequal returns on capital, then, are a divergence force for that significantly amplifies and aggravates the effects of the inequality depending on </w:t>
      </w:r>
      <w:r>
        <w:rPr>
          <w:rFonts w:ascii="Times New Roman" w:hAnsi="Times New Roman"/>
          <w:i/>
          <w:iCs/>
          <w:sz w:val="20"/>
          <w:szCs w:val="20"/>
        </w:rPr>
        <w:t xml:space="preserve">r </w:t>
      </w:r>
      <w:r>
        <w:rPr>
          <w:rFonts w:ascii="Times New Roman" w:hAnsi="Times New Roman"/>
          <w:sz w:val="20"/>
          <w:szCs w:val="20"/>
        </w:rPr>
        <w:t xml:space="preserve">&gt; </w:t>
      </w:r>
      <w:r>
        <w:rPr>
          <w:rFonts w:ascii="Times New Roman" w:hAnsi="Times New Roman"/>
          <w:i/>
          <w:iCs/>
          <w:sz w:val="20"/>
          <w:szCs w:val="20"/>
        </w:rPr>
        <w:t>g</w:t>
      </w:r>
      <w:r>
        <w:rPr>
          <w:rFonts w:ascii="Times New Roman" w:hAnsi="Times New Roman"/>
          <w:sz w:val="20"/>
          <w:szCs w:val="20"/>
        </w:rPr>
        <w:t>. (Piketty, 2015a, p. 50). He</w:t>
      </w:r>
      <w:r>
        <w:rPr>
          <w:rFonts w:ascii="Times New Roman" w:hAnsi="Times New Roman"/>
          <w:bCs/>
          <w:sz w:val="20"/>
          <w:szCs w:val="20"/>
        </w:rPr>
        <w:t xml:space="preserve"> claims also</w:t>
      </w:r>
      <w:r>
        <w:rPr>
          <w:rFonts w:ascii="Times New Roman" w:hAnsi="Times New Roman"/>
          <w:sz w:val="20"/>
          <w:szCs w:val="20"/>
        </w:rPr>
        <w:t xml:space="preserve">: “I certainly do not believe that </w:t>
      </w:r>
      <w:r>
        <w:rPr>
          <w:rFonts w:ascii="Times New Roman" w:hAnsi="Times New Roman"/>
          <w:i/>
          <w:iCs/>
          <w:sz w:val="20"/>
          <w:szCs w:val="20"/>
        </w:rPr>
        <w:t xml:space="preserve">r </w:t>
      </w:r>
      <w:r>
        <w:rPr>
          <w:rFonts w:ascii="Times New Roman" w:hAnsi="Times New Roman"/>
          <w:sz w:val="20"/>
          <w:szCs w:val="20"/>
        </w:rPr>
        <w:t xml:space="preserve">&gt; </w:t>
      </w:r>
      <w:r>
        <w:rPr>
          <w:rFonts w:ascii="Times New Roman" w:hAnsi="Times New Roman"/>
          <w:i/>
          <w:iCs/>
          <w:sz w:val="20"/>
          <w:szCs w:val="20"/>
        </w:rPr>
        <w:t xml:space="preserve">g </w:t>
      </w:r>
      <w:r>
        <w:rPr>
          <w:rFonts w:ascii="Times New Roman" w:hAnsi="Times New Roman"/>
          <w:sz w:val="20"/>
          <w:szCs w:val="20"/>
        </w:rPr>
        <w:t xml:space="preserve">is a useful tool for the discussion of rising inequality of labor income: other mechanisms and policies are much more relevant here, e.g., supply and demand of skills and education” (Piketty, 2015a, p.48). He goes on “the rise in labor income inequality in recent decades explains why total income inequality is now substantially higher in the United States than in Europe” (Piketty, 2015a, p.49). Piketty argues that the two dimensions </w:t>
      </w:r>
      <w:r w:rsidRPr="002A3F9B">
        <w:rPr>
          <w:rFonts w:ascii="Times New Roman" w:hAnsi="Times New Roman"/>
          <w:sz w:val="20"/>
          <w:szCs w:val="20"/>
        </w:rPr>
        <w:t>of inequality, of labor income and of capital ownership, do</w:t>
      </w:r>
      <w:r>
        <w:rPr>
          <w:rFonts w:ascii="Times New Roman" w:hAnsi="Times New Roman"/>
          <w:sz w:val="20"/>
          <w:szCs w:val="20"/>
        </w:rPr>
        <w:t xml:space="preserve"> interact in important ways: for example, rising inequality in labor earnings during a certain period of time might tend to fuel rising wealth concentration in following decades or generations. </w:t>
      </w:r>
      <w:r w:rsidRPr="002A3F9B">
        <w:rPr>
          <w:rFonts w:ascii="Times New Roman" w:hAnsi="Times New Roman"/>
          <w:sz w:val="20"/>
          <w:szCs w:val="20"/>
        </w:rPr>
        <w:t>“In certain societies, the top shares of income and wealth might be highly correlated, while in other societies they may represent entirely different social hierarchies (as in traditional patrimonial societies)” (Piketty, 2015b, p.73).</w:t>
      </w:r>
    </w:p>
    <w:p w:rsidR="00C273A1" w:rsidRDefault="00C273A1" w:rsidP="00155AE6">
      <w:pPr>
        <w:autoSpaceDE w:val="0"/>
        <w:autoSpaceDN w:val="0"/>
        <w:adjustRightInd w:val="0"/>
        <w:spacing w:after="0" w:line="240" w:lineRule="auto"/>
        <w:jc w:val="both"/>
        <w:rPr>
          <w:rFonts w:ascii="Times New Roman" w:hAnsi="Times New Roman"/>
          <w:sz w:val="20"/>
          <w:szCs w:val="20"/>
        </w:rPr>
      </w:pPr>
      <w:r w:rsidRPr="002A3F9B">
        <w:rPr>
          <w:rFonts w:ascii="Times New Roman" w:hAnsi="Times New Roman"/>
          <w:sz w:val="20"/>
          <w:szCs w:val="20"/>
        </w:rPr>
        <w:t>One important issue, however, is not still explained in the Piketty’ approach: how to derive the inequality in personal income distribution from</w:t>
      </w:r>
      <w:r w:rsidRPr="002A3F9B">
        <w:rPr>
          <w:rFonts w:ascii="Times New Roman" w:hAnsi="Times New Roman"/>
          <w:bCs/>
          <w:sz w:val="20"/>
          <w:szCs w:val="20"/>
        </w:rPr>
        <w:t xml:space="preserve"> capital</w:t>
      </w:r>
      <w:r>
        <w:rPr>
          <w:rFonts w:ascii="Times New Roman" w:hAnsi="Times New Roman"/>
          <w:bCs/>
          <w:sz w:val="20"/>
          <w:szCs w:val="20"/>
        </w:rPr>
        <w:t xml:space="preserve"> and labor shares in national income, and then how </w:t>
      </w:r>
      <w:r>
        <w:rPr>
          <w:rFonts w:ascii="Times New Roman" w:hAnsi="Times New Roman"/>
          <w:sz w:val="20"/>
          <w:szCs w:val="20"/>
        </w:rPr>
        <w:t xml:space="preserve">to highlight the different factors behind the level of inequality. As Pier Luigi Porta (2014) </w:t>
      </w:r>
      <w:r w:rsidRPr="002A3F9B">
        <w:rPr>
          <w:rFonts w:ascii="Times New Roman" w:hAnsi="Times New Roman"/>
          <w:sz w:val="20"/>
          <w:szCs w:val="20"/>
        </w:rPr>
        <w:t>argues,</w:t>
      </w:r>
      <w:r>
        <w:rPr>
          <w:rFonts w:ascii="Times New Roman" w:hAnsi="Times New Roman"/>
          <w:sz w:val="20"/>
          <w:szCs w:val="20"/>
        </w:rPr>
        <w:t xml:space="preserve"> Piketty’s analysis focuses too much on the symptoms rather than going direct to the heart of the inequality generation process. The passage from a macro approach (the r&gt;g inequality) to a micro one (inequality in personal income distribution) is very complex and in the Piketty’s book it is not really explained. Also in</w:t>
      </w:r>
      <w:r>
        <w:rPr>
          <w:rFonts w:ascii="Times New Roman" w:hAnsi="Times New Roman"/>
          <w:bCs/>
          <w:sz w:val="20"/>
          <w:szCs w:val="20"/>
        </w:rPr>
        <w:t xml:space="preserve"> the literature, however, the functional and the personal income distributions have always been analyzed separately and, furthermore, since the 1960s, the relevance of these issues is more and more downplayed. </w:t>
      </w:r>
      <w:r>
        <w:rPr>
          <w:rFonts w:ascii="Times New Roman" w:hAnsi="Times New Roman"/>
          <w:sz w:val="20"/>
          <w:szCs w:val="20"/>
        </w:rPr>
        <w:t xml:space="preserve">As Lindert (2014, p.) argues “the shares of labor versus capital in current income… have never proved to be a good predictor of inequality”. </w:t>
      </w:r>
      <w:r>
        <w:rPr>
          <w:rFonts w:ascii="Times New Roman" w:hAnsi="Times New Roman"/>
          <w:bCs/>
          <w:sz w:val="20"/>
          <w:szCs w:val="20"/>
        </w:rPr>
        <w:t xml:space="preserve">The personal income distribution has been quite always analyzed emphasizing “that there is no direct link with factor shares” (Atkinson, 2009, p.4). A very strong link, instead, exists and must be enlightened with suitable frameworks. </w:t>
      </w:r>
    </w:p>
    <w:p w:rsidR="00C273A1" w:rsidRPr="0044502C" w:rsidRDefault="00C273A1" w:rsidP="00155AE6">
      <w:pPr>
        <w:pStyle w:val="Default"/>
        <w:jc w:val="both"/>
        <w:rPr>
          <w:sz w:val="20"/>
          <w:szCs w:val="20"/>
        </w:rPr>
      </w:pPr>
    </w:p>
    <w:p w:rsidR="00C273A1" w:rsidRPr="0044502C" w:rsidRDefault="00C273A1" w:rsidP="00155AE6">
      <w:pPr>
        <w:pStyle w:val="Default"/>
        <w:jc w:val="both"/>
        <w:rPr>
          <w:sz w:val="20"/>
          <w:szCs w:val="20"/>
        </w:rPr>
      </w:pPr>
    </w:p>
    <w:p w:rsidR="00C273A1" w:rsidRPr="00A0444D" w:rsidRDefault="00C273A1" w:rsidP="00155AE6">
      <w:pPr>
        <w:pStyle w:val="Default"/>
        <w:jc w:val="both"/>
        <w:rPr>
          <w:b/>
          <w:color w:val="auto"/>
          <w:sz w:val="20"/>
          <w:szCs w:val="20"/>
          <w:lang w:val="en-IE"/>
        </w:rPr>
      </w:pPr>
      <w:r>
        <w:rPr>
          <w:b/>
          <w:color w:val="auto"/>
          <w:sz w:val="20"/>
          <w:szCs w:val="20"/>
          <w:lang w:val="en-IE"/>
        </w:rPr>
        <w:t>4</w:t>
      </w:r>
      <w:r w:rsidRPr="00A0444D">
        <w:rPr>
          <w:b/>
          <w:color w:val="auto"/>
          <w:sz w:val="20"/>
          <w:szCs w:val="20"/>
          <w:lang w:val="en-IE"/>
        </w:rPr>
        <w:t>. From functional to personal income distribution: what kind of linkage?</w:t>
      </w:r>
    </w:p>
    <w:p w:rsidR="00C273A1" w:rsidRPr="003238A8" w:rsidRDefault="00C273A1" w:rsidP="00155AE6">
      <w:pPr>
        <w:autoSpaceDE w:val="0"/>
        <w:autoSpaceDN w:val="0"/>
        <w:adjustRightInd w:val="0"/>
        <w:spacing w:after="0" w:line="240" w:lineRule="auto"/>
        <w:jc w:val="both"/>
        <w:rPr>
          <w:rFonts w:ascii="Times New Roman" w:hAnsi="Times New Roman"/>
          <w:sz w:val="20"/>
          <w:szCs w:val="20"/>
        </w:rPr>
      </w:pPr>
      <w:r w:rsidRPr="003238A8">
        <w:rPr>
          <w:rFonts w:ascii="Times New Roman" w:hAnsi="Times New Roman"/>
          <w:bCs/>
          <w:sz w:val="20"/>
          <w:szCs w:val="20"/>
        </w:rPr>
        <w:t>Atkinson (2009) argues that a new approach to functional and personal income distribution is needed for three reasons: i)</w:t>
      </w:r>
      <w:r w:rsidRPr="003238A8">
        <w:rPr>
          <w:rFonts w:ascii="Times New Roman" w:hAnsi="Times New Roman"/>
          <w:sz w:val="20"/>
          <w:szCs w:val="20"/>
        </w:rPr>
        <w:t xml:space="preserve"> to make a link between incomes at the macroeconomic level (national accounts) and household incomes; ii) to help understand inequality in the personal distribution of income; iii) to address the concern of social justice with the fairness of different sources of income. “In making the link between national income and the income of the household sector, the breakdown by sources is, indeed, necessary since the different sources raise different issues… The link between factor shares and the personal distribution is more complex than in the days of classical economists for two important reasons: people have multiple sources of income … and there is considerable inequality within categories of income.” (Atkinson, 2009, p. 4).</w:t>
      </w:r>
    </w:p>
    <w:p w:rsidR="00C273A1" w:rsidRPr="00A0444D" w:rsidRDefault="00C273A1" w:rsidP="00155AE6">
      <w:pPr>
        <w:pStyle w:val="Default"/>
        <w:jc w:val="both"/>
        <w:rPr>
          <w:color w:val="auto"/>
          <w:sz w:val="20"/>
          <w:szCs w:val="20"/>
        </w:rPr>
      </w:pPr>
      <w:r w:rsidRPr="00A0444D">
        <w:rPr>
          <w:color w:val="auto"/>
          <w:sz w:val="20"/>
          <w:szCs w:val="20"/>
        </w:rPr>
        <w:t>An analysis of the process which links functional to personal income distribution</w:t>
      </w:r>
      <w:r w:rsidRPr="00A0444D">
        <w:rPr>
          <w:rFonts w:eastAsia="MS Mincho"/>
          <w:color w:val="auto"/>
          <w:sz w:val="20"/>
          <w:szCs w:val="20"/>
          <w:lang w:eastAsia="ja-JP"/>
        </w:rPr>
        <w:t xml:space="preserve"> requires a suitable framework. </w:t>
      </w:r>
      <w:r w:rsidRPr="00A0444D">
        <w:rPr>
          <w:color w:val="auto"/>
          <w:sz w:val="20"/>
          <w:szCs w:val="20"/>
        </w:rPr>
        <w:t>The effects of a rise of the capital income share (π) on the personal income distribution depends not only from its amount, as Piketty argues, but also from the inequality</w:t>
      </w:r>
      <w:r w:rsidRPr="00D24508">
        <w:rPr>
          <w:color w:val="FF0000"/>
          <w:sz w:val="20"/>
          <w:szCs w:val="20"/>
        </w:rPr>
        <w:t xml:space="preserve"> </w:t>
      </w:r>
      <w:r w:rsidRPr="003238A8">
        <w:rPr>
          <w:color w:val="auto"/>
          <w:sz w:val="20"/>
          <w:szCs w:val="20"/>
        </w:rPr>
        <w:t>within c</w:t>
      </w:r>
      <w:r w:rsidRPr="00A0444D">
        <w:rPr>
          <w:color w:val="auto"/>
          <w:sz w:val="20"/>
          <w:szCs w:val="20"/>
        </w:rPr>
        <w:t xml:space="preserve">apital and labor income distributions and from the correlation  between the two distributions. In today’s world, where people have both earnings from labor and from capital, all effects can be enlightened, following Atkinson (2009, p 10), with a simple decomposition of the squared coefficient of variation </w:t>
      </w:r>
      <w:r w:rsidRPr="00A0444D">
        <w:rPr>
          <w:i/>
          <w:color w:val="auto"/>
          <w:sz w:val="20"/>
          <w:szCs w:val="20"/>
        </w:rPr>
        <w:t>V</w:t>
      </w:r>
      <w:r w:rsidRPr="00A0444D">
        <w:rPr>
          <w:color w:val="auto"/>
          <w:sz w:val="20"/>
          <w:szCs w:val="20"/>
          <w:vertAlign w:val="superscript"/>
        </w:rPr>
        <w:t>2</w:t>
      </w:r>
      <w:r w:rsidRPr="00A0444D">
        <w:rPr>
          <w:color w:val="auto"/>
          <w:sz w:val="20"/>
          <w:szCs w:val="20"/>
        </w:rPr>
        <w:t xml:space="preserve">. The overall inequality of total income, measured by </w:t>
      </w:r>
      <w:r w:rsidRPr="00A0444D">
        <w:rPr>
          <w:i/>
          <w:color w:val="auto"/>
          <w:sz w:val="20"/>
          <w:szCs w:val="20"/>
        </w:rPr>
        <w:t>V</w:t>
      </w:r>
      <w:r w:rsidRPr="00A0444D">
        <w:rPr>
          <w:color w:val="auto"/>
          <w:sz w:val="20"/>
          <w:szCs w:val="20"/>
          <w:vertAlign w:val="superscript"/>
        </w:rPr>
        <w:t>2</w:t>
      </w:r>
      <w:r w:rsidRPr="00A0444D">
        <w:rPr>
          <w:color w:val="auto"/>
          <w:sz w:val="20"/>
          <w:szCs w:val="20"/>
        </w:rPr>
        <w:t xml:space="preserve">, can be decomposed as a function of the share of capital income π, of the squared coefficient of variation of labor income </w:t>
      </w:r>
      <w:r w:rsidRPr="00A0444D">
        <w:rPr>
          <w:color w:val="auto"/>
          <w:position w:val="-12"/>
          <w:sz w:val="20"/>
          <w:szCs w:val="20"/>
        </w:rPr>
        <w:object w:dxaOrig="3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pt" o:ole="">
            <v:imagedata r:id="rId7" o:title=""/>
          </v:shape>
          <o:OLEObject Type="Embed" ProgID="Equation.3" ShapeID="_x0000_i1025" DrawAspect="Content" ObjectID="_1569244113" r:id="rId8"/>
        </w:object>
      </w:r>
      <w:r w:rsidRPr="00A0444D">
        <w:rPr>
          <w:color w:val="auto"/>
          <w:sz w:val="20"/>
          <w:szCs w:val="20"/>
        </w:rPr>
        <w:t xml:space="preserve">, of the squared coefficient of variation of capital income </w:t>
      </w:r>
      <w:r w:rsidRPr="00A0444D">
        <w:rPr>
          <w:color w:val="auto"/>
          <w:position w:val="-12"/>
          <w:sz w:val="20"/>
          <w:szCs w:val="20"/>
        </w:rPr>
        <w:object w:dxaOrig="340" w:dyaOrig="440">
          <v:shape id="_x0000_i1026" type="#_x0000_t75" style="width:14.25pt;height:21pt" o:ole="">
            <v:imagedata r:id="rId9" o:title=""/>
          </v:shape>
          <o:OLEObject Type="Embed" ProgID="Equation.3" ShapeID="_x0000_i1026" DrawAspect="Content" ObjectID="_1569244114" r:id="rId10"/>
        </w:object>
      </w:r>
      <w:r w:rsidRPr="00A0444D">
        <w:rPr>
          <w:color w:val="auto"/>
          <w:sz w:val="20"/>
          <w:szCs w:val="20"/>
          <w:vertAlign w:val="subscript"/>
        </w:rPr>
        <w:t xml:space="preserve"> </w:t>
      </w:r>
      <w:r w:rsidRPr="00A0444D">
        <w:rPr>
          <w:color w:val="auto"/>
          <w:sz w:val="20"/>
          <w:szCs w:val="20"/>
        </w:rPr>
        <w:t xml:space="preserve">and of the correlation ρ between wage income and capital income distributions: </w:t>
      </w:r>
    </w:p>
    <w:p w:rsidR="00C273A1" w:rsidRPr="00A0444D" w:rsidRDefault="00C273A1" w:rsidP="00155AE6">
      <w:pPr>
        <w:pStyle w:val="Default"/>
        <w:jc w:val="center"/>
        <w:rPr>
          <w:color w:val="auto"/>
          <w:sz w:val="20"/>
          <w:szCs w:val="20"/>
        </w:rPr>
      </w:pPr>
      <w:r w:rsidRPr="00A0444D">
        <w:rPr>
          <w:color w:val="auto"/>
          <w:position w:val="-12"/>
          <w:sz w:val="20"/>
          <w:szCs w:val="20"/>
        </w:rPr>
        <w:object w:dxaOrig="4140" w:dyaOrig="440">
          <v:shape id="_x0000_i1027" type="#_x0000_t75" style="width:207pt;height:21pt" o:ole="">
            <v:imagedata r:id="rId11" o:title=""/>
          </v:shape>
          <o:OLEObject Type="Embed" ProgID="Equation.3" ShapeID="_x0000_i1027" DrawAspect="Content" ObjectID="_1569244115" r:id="rId12"/>
        </w:object>
      </w:r>
      <w:r w:rsidRPr="00A0444D">
        <w:rPr>
          <w:color w:val="auto"/>
          <w:sz w:val="20"/>
          <w:szCs w:val="20"/>
        </w:rPr>
        <w:t xml:space="preserve">                  (1)</w:t>
      </w:r>
    </w:p>
    <w:p w:rsidR="00C273A1" w:rsidRPr="00A0444D" w:rsidRDefault="00C273A1" w:rsidP="00155AE6">
      <w:pPr>
        <w:pStyle w:val="Default"/>
        <w:jc w:val="both"/>
        <w:rPr>
          <w:color w:val="auto"/>
          <w:sz w:val="20"/>
          <w:szCs w:val="20"/>
        </w:rPr>
      </w:pPr>
      <w:r w:rsidRPr="00A0444D">
        <w:rPr>
          <w:color w:val="auto"/>
          <w:sz w:val="20"/>
          <w:szCs w:val="20"/>
        </w:rPr>
        <w:t xml:space="preserve">The equation (1) shows that “an upward trend in the share of capital income… does not necessarily lead to a rise in overall income inequality… for the right side of (1) to increase with the share of capital income” it is necessary that: </w:t>
      </w:r>
    </w:p>
    <w:p w:rsidR="00C273A1" w:rsidRPr="00A0444D" w:rsidRDefault="00C273A1" w:rsidP="00155AE6">
      <w:pPr>
        <w:pStyle w:val="Default"/>
        <w:jc w:val="center"/>
        <w:rPr>
          <w:color w:val="auto"/>
          <w:sz w:val="20"/>
          <w:szCs w:val="20"/>
        </w:rPr>
      </w:pPr>
      <w:r w:rsidRPr="00A0444D">
        <w:rPr>
          <w:color w:val="auto"/>
          <w:sz w:val="20"/>
          <w:szCs w:val="20"/>
        </w:rPr>
        <w:t>π &gt; [1 − λρ]/[1 + λ</w:t>
      </w:r>
      <w:r w:rsidRPr="00A0444D">
        <w:rPr>
          <w:color w:val="auto"/>
          <w:sz w:val="20"/>
          <w:szCs w:val="20"/>
          <w:vertAlign w:val="superscript"/>
        </w:rPr>
        <w:t>2</w:t>
      </w:r>
      <w:r w:rsidRPr="00A0444D">
        <w:rPr>
          <w:color w:val="auto"/>
          <w:sz w:val="20"/>
          <w:szCs w:val="20"/>
        </w:rPr>
        <w:t xml:space="preserve"> − 2λρ]                            (2)</w:t>
      </w:r>
    </w:p>
    <w:p w:rsidR="00C273A1" w:rsidRPr="00A0444D" w:rsidRDefault="00C273A1" w:rsidP="00155AE6">
      <w:pPr>
        <w:pStyle w:val="Default"/>
        <w:jc w:val="both"/>
        <w:rPr>
          <w:color w:val="auto"/>
          <w:sz w:val="20"/>
          <w:szCs w:val="20"/>
        </w:rPr>
      </w:pPr>
      <w:r w:rsidRPr="00A0444D">
        <w:rPr>
          <w:color w:val="auto"/>
          <w:sz w:val="20"/>
          <w:szCs w:val="20"/>
        </w:rPr>
        <w:t>where λ is defined “as the ratio of the coefficient of variation of capital income to that of wages (i.e. λ = V</w:t>
      </w:r>
      <w:r w:rsidRPr="00A0444D">
        <w:rPr>
          <w:color w:val="auto"/>
          <w:sz w:val="20"/>
          <w:szCs w:val="20"/>
          <w:vertAlign w:val="subscript"/>
        </w:rPr>
        <w:t>k</w:t>
      </w:r>
      <w:r w:rsidRPr="00A0444D">
        <w:rPr>
          <w:color w:val="auto"/>
          <w:sz w:val="20"/>
          <w:szCs w:val="20"/>
        </w:rPr>
        <w:t xml:space="preserve"> /V</w:t>
      </w:r>
      <w:r w:rsidRPr="00A0444D">
        <w:rPr>
          <w:color w:val="auto"/>
          <w:sz w:val="20"/>
          <w:szCs w:val="20"/>
          <w:vertAlign w:val="subscript"/>
        </w:rPr>
        <w:t>w</w:t>
      </w:r>
      <w:r w:rsidRPr="00A0444D">
        <w:rPr>
          <w:color w:val="auto"/>
          <w:sz w:val="20"/>
          <w:szCs w:val="20"/>
        </w:rPr>
        <w:t xml:space="preserve"> ).” </w:t>
      </w:r>
    </w:p>
    <w:p w:rsidR="00C273A1" w:rsidRPr="00A0444D" w:rsidRDefault="00C273A1" w:rsidP="00155AE6">
      <w:pPr>
        <w:pStyle w:val="Default"/>
        <w:jc w:val="both"/>
        <w:rPr>
          <w:color w:val="auto"/>
          <w:sz w:val="20"/>
          <w:szCs w:val="20"/>
        </w:rPr>
      </w:pPr>
      <w:r w:rsidRPr="00A0444D">
        <w:rPr>
          <w:color w:val="auto"/>
          <w:sz w:val="20"/>
          <w:szCs w:val="20"/>
        </w:rPr>
        <w:t xml:space="preserve">The condition (2) implies that the effect on inequality of a rise in the capital share depends both on the degree of correlation ρ and </w:t>
      </w:r>
      <w:r w:rsidRPr="003238A8">
        <w:rPr>
          <w:color w:val="auto"/>
          <w:sz w:val="20"/>
          <w:szCs w:val="20"/>
        </w:rPr>
        <w:t>on</w:t>
      </w:r>
      <w:r w:rsidRPr="00A0444D">
        <w:rPr>
          <w:color w:val="auto"/>
          <w:sz w:val="20"/>
          <w:szCs w:val="20"/>
        </w:rPr>
        <w:t xml:space="preserve"> the ratio between the inequality </w:t>
      </w:r>
      <w:r w:rsidRPr="003238A8">
        <w:rPr>
          <w:color w:val="auto"/>
          <w:sz w:val="20"/>
          <w:szCs w:val="20"/>
        </w:rPr>
        <w:t>of the capital income V</w:t>
      </w:r>
      <w:r w:rsidRPr="003238A8">
        <w:rPr>
          <w:color w:val="auto"/>
          <w:sz w:val="20"/>
          <w:szCs w:val="20"/>
          <w:vertAlign w:val="subscript"/>
        </w:rPr>
        <w:t xml:space="preserve">k   </w:t>
      </w:r>
      <w:r w:rsidRPr="003238A8">
        <w:rPr>
          <w:color w:val="auto"/>
          <w:sz w:val="20"/>
          <w:szCs w:val="20"/>
        </w:rPr>
        <w:t>and the inequality of the labor income V</w:t>
      </w:r>
      <w:r w:rsidRPr="003238A8">
        <w:rPr>
          <w:color w:val="auto"/>
          <w:sz w:val="20"/>
          <w:szCs w:val="20"/>
          <w:vertAlign w:val="subscript"/>
        </w:rPr>
        <w:t>w</w:t>
      </w:r>
      <w:r w:rsidRPr="003238A8">
        <w:rPr>
          <w:color w:val="auto"/>
          <w:sz w:val="20"/>
          <w:szCs w:val="20"/>
        </w:rPr>
        <w:t xml:space="preserve">. </w:t>
      </w:r>
      <w:r w:rsidRPr="00B446C5">
        <w:rPr>
          <w:color w:val="auto"/>
          <w:sz w:val="20"/>
          <w:szCs w:val="20"/>
        </w:rPr>
        <w:t>In</w:t>
      </w:r>
      <w:r w:rsidRPr="00A0444D">
        <w:rPr>
          <w:color w:val="auto"/>
          <w:sz w:val="20"/>
          <w:szCs w:val="20"/>
        </w:rPr>
        <w:t xml:space="preserve"> particular, if the two distributions are uncorrelated, “a rise in the capital share increases inequality where it exceeds 1/(1 + λ</w:t>
      </w:r>
      <w:r w:rsidRPr="00A0444D">
        <w:rPr>
          <w:color w:val="auto"/>
          <w:sz w:val="20"/>
          <w:szCs w:val="20"/>
          <w:vertAlign w:val="superscript"/>
        </w:rPr>
        <w:t>2</w:t>
      </w:r>
      <w:r w:rsidRPr="00A0444D">
        <w:rPr>
          <w:color w:val="auto"/>
          <w:sz w:val="20"/>
          <w:szCs w:val="20"/>
        </w:rPr>
        <w:t>)… (It is assumed throughout that λ is greater than 1) Where the correlation is positive, the critical value is reduced still further, and if ρ is greater than 1/λ, an increase in the capital share always increases inequality” (Atkinson, 2009, p 11).</w:t>
      </w:r>
    </w:p>
    <w:p w:rsidR="00C273A1" w:rsidRPr="00A0444D" w:rsidRDefault="00C273A1" w:rsidP="00155AE6">
      <w:pPr>
        <w:spacing w:after="0" w:line="240" w:lineRule="auto"/>
        <w:jc w:val="both"/>
        <w:rPr>
          <w:rFonts w:ascii="Times New Roman" w:eastAsia="MS Mincho" w:hAnsi="Times New Roman"/>
          <w:sz w:val="20"/>
          <w:szCs w:val="20"/>
          <w:lang w:eastAsia="ja-JP"/>
        </w:rPr>
      </w:pPr>
      <w:r w:rsidRPr="00A0444D">
        <w:rPr>
          <w:rFonts w:ascii="Times New Roman" w:hAnsi="Times New Roman"/>
          <w:sz w:val="20"/>
          <w:szCs w:val="20"/>
        </w:rPr>
        <w:t xml:space="preserve">The decomposition proposed by Atkinson became more relevant when it is considered in a more general framework </w:t>
      </w:r>
      <w:r w:rsidRPr="003238A8">
        <w:rPr>
          <w:rFonts w:ascii="Times New Roman" w:hAnsi="Times New Roman"/>
          <w:sz w:val="20"/>
          <w:szCs w:val="20"/>
        </w:rPr>
        <w:t>which could explain how personal incomes are generated by the use of   both capital and labor in the productive sector.</w:t>
      </w:r>
      <w:r w:rsidRPr="00A0444D">
        <w:rPr>
          <w:rFonts w:ascii="Times New Roman" w:hAnsi="Times New Roman"/>
          <w:sz w:val="20"/>
          <w:szCs w:val="20"/>
        </w:rPr>
        <w:t xml:space="preserve"> This means to link the personal income distribution and its inequality to the functional one, trough the shares of capital and labor owned by each individual. As a matter of fact, t</w:t>
      </w:r>
      <w:r w:rsidRPr="00A0444D">
        <w:rPr>
          <w:rFonts w:ascii="Times New Roman" w:eastAsia="MS Mincho" w:hAnsi="Times New Roman"/>
          <w:sz w:val="20"/>
          <w:szCs w:val="20"/>
          <w:lang w:eastAsia="ja-JP"/>
        </w:rPr>
        <w:t xml:space="preserve">he factors that can be considered as sources of individual incomes, in the short run, are not only the amount of the endowments (physical and human capital) but also the "ability" to transform these endowments into personal income. In the long run, the accumulation of capital/wealth (earned or inherited) plays, of course, a very important role in generating earnings, income and inequality. But it must be considered only one of the factors. The structure of the factors ownership of individuals grouped into family units, of different composition and size, determines the distribution of market incomes. </w:t>
      </w:r>
    </w:p>
    <w:p w:rsidR="00C273A1" w:rsidRPr="00454499" w:rsidRDefault="00C273A1" w:rsidP="00155AE6">
      <w:pPr>
        <w:spacing w:after="0" w:line="240" w:lineRule="auto"/>
        <w:jc w:val="both"/>
        <w:rPr>
          <w:rFonts w:ascii="Times New Roman" w:hAnsi="Times New Roman"/>
          <w:snapToGrid w:val="0"/>
          <w:sz w:val="20"/>
          <w:szCs w:val="20"/>
          <w:lang w:eastAsia="it-IT"/>
        </w:rPr>
      </w:pPr>
      <w:r w:rsidRPr="00A0444D">
        <w:rPr>
          <w:rFonts w:ascii="Times New Roman" w:eastAsia="MS Mincho" w:hAnsi="Times New Roman"/>
          <w:sz w:val="20"/>
          <w:szCs w:val="20"/>
          <w:lang w:eastAsia="ja-JP"/>
        </w:rPr>
        <w:t>The mech</w:t>
      </w:r>
      <w:r>
        <w:rPr>
          <w:rFonts w:ascii="Times New Roman" w:eastAsia="MS Mincho" w:hAnsi="Times New Roman"/>
          <w:sz w:val="20"/>
          <w:szCs w:val="20"/>
          <w:lang w:eastAsia="ja-JP"/>
        </w:rPr>
        <w:t xml:space="preserve">anisms that regulate the </w:t>
      </w:r>
      <w:r w:rsidRPr="00A0444D">
        <w:rPr>
          <w:rFonts w:ascii="Times New Roman" w:eastAsia="MS Mincho" w:hAnsi="Times New Roman"/>
          <w:sz w:val="20"/>
          <w:szCs w:val="20"/>
          <w:lang w:eastAsia="ja-JP"/>
        </w:rPr>
        <w:t>distribution</w:t>
      </w:r>
      <w:r w:rsidRPr="00D24508">
        <w:rPr>
          <w:rFonts w:ascii="Times New Roman" w:eastAsia="MS Mincho" w:hAnsi="Times New Roman"/>
          <w:color w:val="FF0000"/>
          <w:sz w:val="20"/>
          <w:szCs w:val="20"/>
          <w:lang w:eastAsia="ja-JP"/>
        </w:rPr>
        <w:t xml:space="preserve"> </w:t>
      </w:r>
      <w:r w:rsidRPr="003238A8">
        <w:rPr>
          <w:rFonts w:ascii="Times New Roman" w:eastAsia="MS Mincho" w:hAnsi="Times New Roman"/>
          <w:sz w:val="20"/>
          <w:szCs w:val="20"/>
          <w:lang w:eastAsia="ja-JP"/>
        </w:rPr>
        <w:t xml:space="preserve">of market income </w:t>
      </w:r>
      <w:r w:rsidRPr="00A0444D">
        <w:rPr>
          <w:rFonts w:ascii="Times New Roman" w:eastAsia="MS Mincho" w:hAnsi="Times New Roman"/>
          <w:sz w:val="20"/>
          <w:szCs w:val="20"/>
          <w:lang w:eastAsia="ja-JP"/>
        </w:rPr>
        <w:t>among the various units must be brought back to the variables that contribute to the “generation”</w:t>
      </w:r>
      <w:r>
        <w:rPr>
          <w:rFonts w:ascii="Times New Roman" w:eastAsia="MS Mincho" w:hAnsi="Times New Roman"/>
          <w:sz w:val="20"/>
          <w:szCs w:val="20"/>
          <w:lang w:eastAsia="ja-JP"/>
        </w:rPr>
        <w:t xml:space="preserve"> of the </w:t>
      </w:r>
      <w:r w:rsidRPr="003238A8">
        <w:rPr>
          <w:rFonts w:ascii="Times New Roman" w:eastAsia="MS Mincho" w:hAnsi="Times New Roman"/>
          <w:sz w:val="20"/>
          <w:szCs w:val="20"/>
          <w:lang w:eastAsia="ja-JP"/>
        </w:rPr>
        <w:t xml:space="preserve">value added </w:t>
      </w:r>
      <w:r w:rsidRPr="00A0444D">
        <w:rPr>
          <w:rFonts w:ascii="Times New Roman" w:eastAsia="MS Mincho" w:hAnsi="Times New Roman"/>
          <w:sz w:val="20"/>
          <w:szCs w:val="20"/>
          <w:lang w:eastAsia="ja-JP"/>
        </w:rPr>
        <w:t xml:space="preserve">of the economic system into different sectors of production, business units and workers. The ways in which the individual endowments translate into earnings depends on their prices as a result of structural and cyclical market equilibria. This process, following Dagum (1977) can be represented by a "generating function of income", that is, by a function </w:t>
      </w:r>
      <w:r w:rsidRPr="00A0444D">
        <w:rPr>
          <w:rFonts w:ascii="Times New Roman" w:eastAsia="MS Mincho" w:hAnsi="Times New Roman"/>
          <w:i/>
          <w:sz w:val="20"/>
          <w:szCs w:val="20"/>
          <w:lang w:eastAsia="ja-JP"/>
        </w:rPr>
        <w:t xml:space="preserve">f </w:t>
      </w:r>
      <w:r w:rsidRPr="00A0444D">
        <w:rPr>
          <w:rFonts w:ascii="Times New Roman" w:eastAsia="MS Mincho" w:hAnsi="Times New Roman"/>
          <w:sz w:val="20"/>
          <w:szCs w:val="20"/>
          <w:lang w:eastAsia="ja-JP"/>
        </w:rPr>
        <w:t xml:space="preserve">which ensures the correspondence between the market income </w:t>
      </w:r>
      <w:r w:rsidRPr="00A0444D">
        <w:rPr>
          <w:rFonts w:ascii="Times New Roman" w:hAnsi="Times New Roman"/>
          <w:i/>
          <w:snapToGrid w:val="0"/>
          <w:sz w:val="20"/>
          <w:szCs w:val="20"/>
          <w:lang w:eastAsia="it-IT"/>
        </w:rPr>
        <w:t>y</w:t>
      </w:r>
      <w:r w:rsidRPr="00A0444D">
        <w:rPr>
          <w:rFonts w:ascii="Times New Roman" w:hAnsi="Times New Roman"/>
          <w:i/>
          <w:snapToGrid w:val="0"/>
          <w:sz w:val="20"/>
          <w:szCs w:val="20"/>
          <w:vertAlign w:val="subscript"/>
          <w:lang w:eastAsia="it-IT"/>
        </w:rPr>
        <w:t>mi</w:t>
      </w:r>
      <w:r w:rsidRPr="00A0444D">
        <w:rPr>
          <w:rFonts w:ascii="Times New Roman" w:eastAsia="MS Mincho" w:hAnsi="Times New Roman"/>
          <w:sz w:val="20"/>
          <w:szCs w:val="20"/>
          <w:lang w:eastAsia="ja-JP"/>
        </w:rPr>
        <w:t xml:space="preserve"> of each unit </w:t>
      </w:r>
      <w:r w:rsidRPr="00A0444D">
        <w:rPr>
          <w:rFonts w:ascii="Times New Roman" w:eastAsia="MS Mincho" w:hAnsi="Times New Roman"/>
          <w:i/>
          <w:sz w:val="20"/>
          <w:szCs w:val="20"/>
          <w:lang w:eastAsia="ja-JP"/>
        </w:rPr>
        <w:t xml:space="preserve">i </w:t>
      </w:r>
      <w:r w:rsidRPr="00A0444D">
        <w:rPr>
          <w:rFonts w:ascii="Times New Roman" w:eastAsia="MS Mincho" w:hAnsi="Times New Roman"/>
          <w:sz w:val="20"/>
          <w:szCs w:val="20"/>
          <w:lang w:eastAsia="ja-JP"/>
        </w:rPr>
        <w:t xml:space="preserve">and the endowments owned, given their prices. In a first very simplified </w:t>
      </w:r>
      <w:r w:rsidRPr="00454499">
        <w:rPr>
          <w:rFonts w:ascii="Times New Roman" w:eastAsia="MS Mincho" w:hAnsi="Times New Roman"/>
          <w:sz w:val="20"/>
          <w:szCs w:val="20"/>
          <w:lang w:eastAsia="ja-JP"/>
        </w:rPr>
        <w:t xml:space="preserve">specification it can be assumed that endowments are human capital </w:t>
      </w:r>
      <w:r w:rsidRPr="00454499">
        <w:rPr>
          <w:rFonts w:ascii="Times New Roman" w:hAnsi="Times New Roman"/>
          <w:i/>
          <w:snapToGrid w:val="0"/>
          <w:sz w:val="20"/>
          <w:szCs w:val="20"/>
          <w:lang w:eastAsia="it-IT"/>
        </w:rPr>
        <w:t>c</w:t>
      </w:r>
      <w:r w:rsidRPr="00454499">
        <w:rPr>
          <w:rFonts w:ascii="Times New Roman" w:hAnsi="Times New Roman"/>
          <w:i/>
          <w:snapToGrid w:val="0"/>
          <w:position w:val="-6"/>
          <w:sz w:val="20"/>
          <w:szCs w:val="20"/>
          <w:lang w:eastAsia="it-IT"/>
        </w:rPr>
        <w:t xml:space="preserve">u </w:t>
      </w:r>
      <w:r w:rsidRPr="00454499">
        <w:rPr>
          <w:rFonts w:ascii="Times New Roman" w:eastAsia="MS Mincho" w:hAnsi="Times New Roman"/>
          <w:sz w:val="20"/>
          <w:szCs w:val="20"/>
          <w:lang w:eastAsia="ja-JP"/>
        </w:rPr>
        <w:t xml:space="preserve">and physical capital </w:t>
      </w:r>
      <w:r w:rsidRPr="00454499">
        <w:rPr>
          <w:rFonts w:ascii="Times New Roman" w:hAnsi="Times New Roman"/>
          <w:i/>
          <w:snapToGrid w:val="0"/>
          <w:sz w:val="20"/>
          <w:szCs w:val="20"/>
          <w:lang w:eastAsia="it-IT"/>
        </w:rPr>
        <w:t>c</w:t>
      </w:r>
      <w:r w:rsidRPr="00454499">
        <w:rPr>
          <w:rFonts w:ascii="Times New Roman" w:hAnsi="Times New Roman"/>
          <w:i/>
          <w:snapToGrid w:val="0"/>
          <w:sz w:val="20"/>
          <w:szCs w:val="20"/>
          <w:vertAlign w:val="subscript"/>
          <w:lang w:eastAsia="it-IT"/>
        </w:rPr>
        <w:t>k</w:t>
      </w:r>
      <w:r w:rsidRPr="00454499">
        <w:rPr>
          <w:rFonts w:ascii="Times New Roman" w:hAnsi="Times New Roman"/>
          <w:snapToGrid w:val="0"/>
          <w:sz w:val="20"/>
          <w:szCs w:val="20"/>
          <w:lang w:eastAsia="it-IT"/>
        </w:rPr>
        <w:t xml:space="preserve"> . </w:t>
      </w:r>
      <w:r w:rsidRPr="00454499">
        <w:rPr>
          <w:rFonts w:ascii="Times New Roman" w:eastAsia="MS Mincho" w:hAnsi="Times New Roman"/>
          <w:sz w:val="20"/>
          <w:szCs w:val="20"/>
          <w:lang w:eastAsia="ja-JP"/>
        </w:rPr>
        <w:t xml:space="preserve">This function, for each unit </w:t>
      </w:r>
      <w:r w:rsidRPr="00454499">
        <w:rPr>
          <w:rFonts w:ascii="Times New Roman" w:eastAsia="MS Mincho" w:hAnsi="Times New Roman"/>
          <w:i/>
          <w:sz w:val="20"/>
          <w:szCs w:val="20"/>
          <w:lang w:eastAsia="ja-JP"/>
        </w:rPr>
        <w:t>i</w:t>
      </w:r>
      <w:r w:rsidRPr="00454499">
        <w:rPr>
          <w:rFonts w:ascii="Times New Roman" w:eastAsia="MS Mincho" w:hAnsi="Times New Roman"/>
          <w:sz w:val="20"/>
          <w:szCs w:val="20"/>
          <w:lang w:eastAsia="ja-JP"/>
        </w:rPr>
        <w:t>, can be expressed as:</w:t>
      </w:r>
      <w:r w:rsidRPr="00454499">
        <w:rPr>
          <w:rFonts w:ascii="Times New Roman" w:hAnsi="Times New Roman"/>
          <w:snapToGrid w:val="0"/>
          <w:sz w:val="20"/>
          <w:szCs w:val="20"/>
          <w:lang w:eastAsia="it-IT"/>
        </w:rPr>
        <w:t xml:space="preserve"> </w:t>
      </w:r>
    </w:p>
    <w:p w:rsidR="00C273A1" w:rsidRPr="00454499" w:rsidRDefault="00C273A1" w:rsidP="00155AE6">
      <w:pPr>
        <w:spacing w:after="0" w:line="240" w:lineRule="auto"/>
        <w:jc w:val="both"/>
        <w:rPr>
          <w:rFonts w:ascii="Times New Roman" w:eastAsia="MS Mincho" w:hAnsi="Times New Roman"/>
          <w:sz w:val="20"/>
          <w:szCs w:val="20"/>
          <w:lang w:eastAsia="ja-JP"/>
        </w:rPr>
      </w:pPr>
      <w:r w:rsidRPr="00454499">
        <w:rPr>
          <w:rFonts w:ascii="Times New Roman" w:hAnsi="Times New Roman"/>
          <w:snapToGrid w:val="0"/>
          <w:sz w:val="20"/>
          <w:szCs w:val="20"/>
          <w:lang w:eastAsia="it-IT"/>
        </w:rPr>
        <w:t xml:space="preserve">                            </w:t>
      </w:r>
      <w:r w:rsidRPr="00454499">
        <w:rPr>
          <w:rFonts w:ascii="Times New Roman" w:hAnsi="Times New Roman"/>
          <w:i/>
          <w:snapToGrid w:val="0"/>
          <w:sz w:val="20"/>
          <w:szCs w:val="20"/>
          <w:lang w:eastAsia="it-IT"/>
        </w:rPr>
        <w:t>y</w:t>
      </w:r>
      <w:r w:rsidRPr="00454499">
        <w:rPr>
          <w:rFonts w:ascii="Times New Roman" w:hAnsi="Times New Roman"/>
          <w:i/>
          <w:snapToGrid w:val="0"/>
          <w:sz w:val="20"/>
          <w:szCs w:val="20"/>
          <w:vertAlign w:val="subscript"/>
          <w:lang w:eastAsia="it-IT"/>
        </w:rPr>
        <w:t>mi</w:t>
      </w:r>
      <w:r w:rsidRPr="00454499">
        <w:rPr>
          <w:rFonts w:ascii="Times New Roman" w:hAnsi="Times New Roman"/>
          <w:snapToGrid w:val="0"/>
          <w:sz w:val="20"/>
          <w:szCs w:val="20"/>
          <w:lang w:eastAsia="it-IT"/>
        </w:rPr>
        <w:t xml:space="preserve"> = </w:t>
      </w:r>
      <w:r w:rsidRPr="00454499">
        <w:rPr>
          <w:rFonts w:ascii="Times New Roman" w:hAnsi="Times New Roman"/>
          <w:i/>
          <w:snapToGrid w:val="0"/>
          <w:sz w:val="20"/>
          <w:szCs w:val="20"/>
          <w:lang w:eastAsia="it-IT"/>
        </w:rPr>
        <w:t>f (c</w:t>
      </w:r>
      <w:r w:rsidRPr="00454499">
        <w:rPr>
          <w:rFonts w:ascii="Times New Roman" w:hAnsi="Times New Roman"/>
          <w:i/>
          <w:snapToGrid w:val="0"/>
          <w:position w:val="-6"/>
          <w:sz w:val="20"/>
          <w:szCs w:val="20"/>
          <w:vertAlign w:val="subscript"/>
          <w:lang w:eastAsia="it-IT"/>
        </w:rPr>
        <w:t>ui</w:t>
      </w:r>
      <w:r w:rsidRPr="00454499">
        <w:rPr>
          <w:rFonts w:ascii="Times New Roman" w:hAnsi="Times New Roman"/>
          <w:i/>
          <w:snapToGrid w:val="0"/>
          <w:sz w:val="20"/>
          <w:szCs w:val="20"/>
          <w:lang w:eastAsia="it-IT"/>
        </w:rPr>
        <w:t>, c</w:t>
      </w:r>
      <w:r w:rsidRPr="00454499">
        <w:rPr>
          <w:rFonts w:ascii="Times New Roman" w:hAnsi="Times New Roman"/>
          <w:i/>
          <w:snapToGrid w:val="0"/>
          <w:position w:val="-6"/>
          <w:sz w:val="20"/>
          <w:szCs w:val="20"/>
          <w:vertAlign w:val="subscript"/>
          <w:lang w:eastAsia="it-IT"/>
        </w:rPr>
        <w:t>ki</w:t>
      </w:r>
      <w:r w:rsidRPr="00454499">
        <w:rPr>
          <w:rFonts w:ascii="Times New Roman" w:hAnsi="Times New Roman"/>
          <w:i/>
          <w:snapToGrid w:val="0"/>
          <w:sz w:val="20"/>
          <w:szCs w:val="20"/>
          <w:lang w:eastAsia="it-IT"/>
        </w:rPr>
        <w:t xml:space="preserve"> )</w:t>
      </w:r>
      <w:r w:rsidRPr="00454499">
        <w:rPr>
          <w:rFonts w:ascii="Times New Roman" w:hAnsi="Times New Roman"/>
          <w:snapToGrid w:val="0"/>
          <w:sz w:val="20"/>
          <w:szCs w:val="20"/>
          <w:lang w:eastAsia="it-IT"/>
        </w:rPr>
        <w:t xml:space="preserve">    (3)</w:t>
      </w:r>
    </w:p>
    <w:p w:rsidR="00C273A1" w:rsidRPr="003238A8" w:rsidRDefault="00C273A1" w:rsidP="00335CFE">
      <w:pPr>
        <w:pStyle w:val="PreformattatoHTML"/>
        <w:jc w:val="both"/>
        <w:rPr>
          <w:rFonts w:ascii="Times New Roman" w:hAnsi="Times New Roman"/>
          <w:lang w:eastAsia="ja-JP"/>
        </w:rPr>
      </w:pPr>
      <w:r w:rsidRPr="003238A8">
        <w:rPr>
          <w:rFonts w:ascii="Times New Roman" w:eastAsia="MS Mincho" w:hAnsi="Times New Roman" w:cs="Times New Roman"/>
          <w:lang w:eastAsia="ja-JP"/>
        </w:rPr>
        <w:t xml:space="preserve">Two groups of variables, micro and macro, determinate the generating function of the market income. From one side, the value </w:t>
      </w:r>
      <w:r w:rsidRPr="003238A8">
        <w:rPr>
          <w:rFonts w:ascii="Times New Roman" w:eastAsia="Arial Unicode MS" w:hAnsi="Times New Roman" w:cs="Times New Roman"/>
          <w:lang w:eastAsia="ja-JP"/>
        </w:rPr>
        <w:t>​​</w:t>
      </w:r>
      <w:r w:rsidRPr="003238A8">
        <w:rPr>
          <w:rFonts w:ascii="Times New Roman" w:eastAsia="MS Mincho" w:hAnsi="Times New Roman" w:cs="Times New Roman"/>
          <w:lang w:eastAsia="ja-JP"/>
        </w:rPr>
        <w:t xml:space="preserve">of the endowments can be considered the result of the factors that determine the earning capacity of a subject such as personal abilities (innate or acquired </w:t>
      </w:r>
      <w:r w:rsidRPr="003238A8">
        <w:rPr>
          <w:rFonts w:ascii="Times New Roman" w:hAnsi="Times New Roman" w:cs="Times New Roman"/>
          <w:lang w:eastAsia="ja-JP"/>
        </w:rPr>
        <w:t>through education</w:t>
      </w:r>
      <w:r w:rsidRPr="003238A8">
        <w:rPr>
          <w:rFonts w:ascii="Times New Roman" w:eastAsia="MS Mincho" w:hAnsi="Times New Roman" w:cs="Times New Roman"/>
          <w:lang w:eastAsia="ja-JP"/>
        </w:rPr>
        <w:t>), age, ownership of capital assets accumulated or inherited. All these factors are considered as</w:t>
      </w:r>
      <w:r w:rsidRPr="003238A8">
        <w:rPr>
          <w:rFonts w:ascii="Times New Roman" w:hAnsi="Times New Roman" w:cs="Times New Roman"/>
          <w:lang w:eastAsia="ja-JP"/>
        </w:rPr>
        <w:t xml:space="preserve"> important variables for explaining the earning capacity of the subjects, and therefore the inequality in personal income distribution</w:t>
      </w:r>
      <w:r w:rsidRPr="003238A8">
        <w:rPr>
          <w:rFonts w:ascii="Times New Roman" w:eastAsia="MS Mincho" w:hAnsi="Times New Roman" w:cs="Times New Roman"/>
          <w:lang w:eastAsia="ja-JP"/>
        </w:rPr>
        <w:t xml:space="preserve"> by the traditional theories which stress the influence of microeconomic variables. </w:t>
      </w:r>
      <w:r w:rsidRPr="003238A8">
        <w:rPr>
          <w:rFonts w:ascii="Times New Roman" w:hAnsi="Times New Roman" w:cs="Times New Roman"/>
          <w:lang w:eastAsia="ja-JP"/>
        </w:rPr>
        <w:t xml:space="preserve">Occupational choice, and the consequent social position, in turn depends not only on the level of education, but also by the family background and the paternal prestige. </w:t>
      </w:r>
      <w:r w:rsidRPr="003238A8">
        <w:rPr>
          <w:rFonts w:ascii="Times New Roman" w:hAnsi="Times New Roman"/>
          <w:lang w:eastAsia="ja-JP"/>
        </w:rPr>
        <w:t>In a system where incomes are earned in the market, the capabilities are enhanced by the social and economic organization. Not only the unequal distribution of abilities tend to produce an unequal distribution of incomes, but also factors such as the "fate" and the luck are important variables as well. The luck, however, has a very important role in the accumulation process of wealth and heritages, as Piketty has shown.</w:t>
      </w:r>
    </w:p>
    <w:p w:rsidR="00C273A1" w:rsidRPr="003238A8" w:rsidRDefault="00C273A1" w:rsidP="00335CFE">
      <w:pPr>
        <w:pStyle w:val="PreformattatoHTML"/>
        <w:jc w:val="both"/>
        <w:rPr>
          <w:rFonts w:ascii="Times New Roman" w:eastAsia="MS Mincho" w:hAnsi="Times New Roman" w:cs="Times New Roman"/>
          <w:lang w:eastAsia="ja-JP"/>
        </w:rPr>
      </w:pPr>
      <w:r w:rsidRPr="003238A8">
        <w:rPr>
          <w:rFonts w:ascii="Times New Roman" w:eastAsia="MS Mincho" w:hAnsi="Times New Roman" w:cs="Times New Roman"/>
          <w:lang w:eastAsia="ja-JP"/>
        </w:rPr>
        <w:t>From the other side the ways through which resources are exchanged in the market and translated into income depends also on macroeconomic variables. In particular, the prices of the endowments synthesize the structural economic characteristics of the different markets.</w:t>
      </w:r>
      <w:r w:rsidRPr="003238A8">
        <w:rPr>
          <w:rFonts w:ascii="Times New Roman" w:hAnsi="Times New Roman" w:cs="Times New Roman"/>
        </w:rPr>
        <w:t xml:space="preserve"> </w:t>
      </w:r>
      <w:r w:rsidRPr="003238A8">
        <w:rPr>
          <w:rFonts w:ascii="Times New Roman" w:eastAsia="MS Mincho" w:hAnsi="Times New Roman" w:cs="Times New Roman"/>
          <w:lang w:eastAsia="ja-JP"/>
        </w:rPr>
        <w:t xml:space="preserve">The capability of earning a given level of market income </w:t>
      </w:r>
      <w:r w:rsidRPr="003238A8">
        <w:rPr>
          <w:rFonts w:ascii="Times New Roman" w:hAnsi="Times New Roman" w:cs="Times New Roman"/>
          <w:i/>
          <w:snapToGrid w:val="0"/>
          <w:lang w:eastAsia="it-IT"/>
        </w:rPr>
        <w:t>y</w:t>
      </w:r>
      <w:r w:rsidRPr="003238A8">
        <w:rPr>
          <w:rFonts w:ascii="Times New Roman" w:hAnsi="Times New Roman" w:cs="Times New Roman"/>
          <w:i/>
          <w:snapToGrid w:val="0"/>
          <w:vertAlign w:val="subscript"/>
          <w:lang w:eastAsia="it-IT"/>
        </w:rPr>
        <w:t>m</w:t>
      </w:r>
      <w:r w:rsidRPr="003238A8">
        <w:rPr>
          <w:rFonts w:ascii="Times New Roman" w:eastAsia="MS Mincho" w:hAnsi="Times New Roman" w:cs="Times New Roman"/>
          <w:lang w:eastAsia="ja-JP"/>
        </w:rPr>
        <w:t xml:space="preserve"> depends on the position of each unity in a specific socio-economic setting, that is on the relations between the characteristics of each subject and the productive sectors in which he operates: not only on market conditions, but also on the structure of property, the localization as well as on the legal rules and the social, cultural and religious features of a country. In a market economy these conditions can be expressed by a vector of prices and the final result will be a flow of earned incomes.</w:t>
      </w:r>
    </w:p>
    <w:p w:rsidR="00C273A1" w:rsidRPr="003238A8" w:rsidRDefault="00C273A1" w:rsidP="00335CFE">
      <w:pPr>
        <w:spacing w:after="0" w:line="240" w:lineRule="auto"/>
        <w:jc w:val="both"/>
        <w:rPr>
          <w:rFonts w:ascii="Times New Roman" w:hAnsi="Times New Roman"/>
          <w:snapToGrid w:val="0"/>
          <w:sz w:val="20"/>
          <w:szCs w:val="20"/>
          <w:lang w:eastAsia="it-IT"/>
        </w:rPr>
      </w:pPr>
      <w:r w:rsidRPr="003238A8">
        <w:rPr>
          <w:rFonts w:ascii="Times New Roman" w:eastAsia="MS Mincho" w:hAnsi="Times New Roman"/>
          <w:sz w:val="20"/>
          <w:szCs w:val="20"/>
          <w:lang w:eastAsia="ja-JP"/>
        </w:rPr>
        <w:t xml:space="preserve">If the focus of the analysis is on the disposable income </w:t>
      </w:r>
      <w:r w:rsidRPr="003238A8">
        <w:rPr>
          <w:rFonts w:ascii="Times New Roman" w:eastAsia="MS Mincho" w:hAnsi="Times New Roman"/>
          <w:i/>
          <w:sz w:val="20"/>
          <w:szCs w:val="20"/>
          <w:lang w:eastAsia="ja-JP"/>
        </w:rPr>
        <w:t>y</w:t>
      </w:r>
      <w:r w:rsidRPr="003238A8">
        <w:rPr>
          <w:rFonts w:ascii="Times New Roman" w:eastAsia="MS Mincho" w:hAnsi="Times New Roman"/>
          <w:i/>
          <w:sz w:val="20"/>
          <w:szCs w:val="20"/>
          <w:vertAlign w:val="subscript"/>
          <w:lang w:eastAsia="ja-JP"/>
        </w:rPr>
        <w:t>di</w:t>
      </w:r>
      <w:r w:rsidRPr="003238A8">
        <w:rPr>
          <w:rFonts w:ascii="Times New Roman" w:eastAsia="MS Mincho" w:hAnsi="Times New Roman"/>
          <w:sz w:val="20"/>
          <w:szCs w:val="20"/>
          <w:lang w:eastAsia="ja-JP"/>
        </w:rPr>
        <w:t xml:space="preserve">, that is the income post-taxes and transfers, it is necessary to consider as a supplementary endowment the capability to obtain transfers from the government or from other subjects </w:t>
      </w:r>
      <w:r w:rsidRPr="003238A8">
        <w:rPr>
          <w:rFonts w:ascii="Times New Roman" w:hAnsi="Times New Roman"/>
          <w:i/>
          <w:snapToGrid w:val="0"/>
          <w:sz w:val="20"/>
          <w:szCs w:val="20"/>
          <w:lang w:eastAsia="it-IT"/>
        </w:rPr>
        <w:t>t</w:t>
      </w:r>
      <w:r w:rsidRPr="003238A8">
        <w:rPr>
          <w:rFonts w:ascii="Times New Roman" w:hAnsi="Times New Roman"/>
          <w:i/>
          <w:snapToGrid w:val="0"/>
          <w:position w:val="-6"/>
          <w:sz w:val="20"/>
          <w:szCs w:val="20"/>
          <w:vertAlign w:val="subscript"/>
          <w:lang w:eastAsia="it-IT"/>
        </w:rPr>
        <w:t>ri</w:t>
      </w:r>
      <w:r w:rsidRPr="003238A8">
        <w:rPr>
          <w:rFonts w:ascii="Times New Roman" w:eastAsia="MS Mincho" w:hAnsi="Times New Roman"/>
          <w:sz w:val="20"/>
          <w:szCs w:val="20"/>
          <w:vertAlign w:val="subscript"/>
          <w:lang w:eastAsia="ja-JP"/>
        </w:rPr>
        <w:t xml:space="preserve"> </w:t>
      </w:r>
      <w:r w:rsidRPr="003238A8">
        <w:rPr>
          <w:rFonts w:ascii="Times New Roman" w:eastAsia="MS Mincho" w:hAnsi="Times New Roman"/>
          <w:sz w:val="20"/>
          <w:szCs w:val="20"/>
          <w:lang w:eastAsia="ja-JP"/>
        </w:rPr>
        <w:t xml:space="preserve">.  </w:t>
      </w:r>
      <w:r w:rsidRPr="003238A8">
        <w:rPr>
          <w:rFonts w:ascii="Times New Roman" w:hAnsi="Times New Roman"/>
          <w:snapToGrid w:val="0"/>
          <w:sz w:val="20"/>
          <w:szCs w:val="20"/>
          <w:lang w:eastAsia="it-IT"/>
        </w:rPr>
        <w:t xml:space="preserve">             </w:t>
      </w:r>
    </w:p>
    <w:p w:rsidR="00C273A1" w:rsidRPr="003238A8" w:rsidRDefault="00C273A1" w:rsidP="00335CFE">
      <w:pPr>
        <w:spacing w:after="0" w:line="240" w:lineRule="auto"/>
        <w:jc w:val="both"/>
        <w:rPr>
          <w:rFonts w:ascii="Times New Roman" w:eastAsia="MS Mincho" w:hAnsi="Times New Roman"/>
          <w:sz w:val="20"/>
          <w:szCs w:val="20"/>
          <w:lang w:val="it-IT" w:eastAsia="ja-JP"/>
        </w:rPr>
      </w:pPr>
      <w:r w:rsidRPr="003238A8">
        <w:rPr>
          <w:rFonts w:ascii="Times New Roman" w:hAnsi="Times New Roman"/>
          <w:snapToGrid w:val="0"/>
          <w:sz w:val="20"/>
          <w:szCs w:val="20"/>
          <w:lang w:val="en-GB" w:eastAsia="it-IT"/>
        </w:rPr>
        <w:t xml:space="preserve">               </w:t>
      </w:r>
      <w:r w:rsidRPr="003238A8">
        <w:rPr>
          <w:rFonts w:ascii="Times New Roman" w:hAnsi="Times New Roman"/>
          <w:i/>
          <w:snapToGrid w:val="0"/>
          <w:sz w:val="20"/>
          <w:szCs w:val="20"/>
          <w:lang w:val="it-IT" w:eastAsia="it-IT"/>
        </w:rPr>
        <w:t>y</w:t>
      </w:r>
      <w:r w:rsidRPr="003238A8">
        <w:rPr>
          <w:rFonts w:ascii="Times New Roman" w:hAnsi="Times New Roman"/>
          <w:i/>
          <w:snapToGrid w:val="0"/>
          <w:sz w:val="20"/>
          <w:szCs w:val="20"/>
          <w:vertAlign w:val="subscript"/>
          <w:lang w:val="it-IT" w:eastAsia="it-IT"/>
        </w:rPr>
        <w:t>di</w:t>
      </w:r>
      <w:r w:rsidRPr="003238A8">
        <w:rPr>
          <w:rFonts w:ascii="Times New Roman" w:hAnsi="Times New Roman"/>
          <w:snapToGrid w:val="0"/>
          <w:sz w:val="20"/>
          <w:szCs w:val="20"/>
          <w:lang w:val="it-IT" w:eastAsia="it-IT"/>
        </w:rPr>
        <w:t xml:space="preserve"> = </w:t>
      </w:r>
      <w:r w:rsidRPr="003238A8">
        <w:rPr>
          <w:rFonts w:ascii="Times New Roman" w:hAnsi="Times New Roman"/>
          <w:i/>
          <w:snapToGrid w:val="0"/>
          <w:sz w:val="20"/>
          <w:szCs w:val="20"/>
          <w:lang w:val="it-IT" w:eastAsia="it-IT"/>
        </w:rPr>
        <w:t>f (c</w:t>
      </w:r>
      <w:r w:rsidRPr="003238A8">
        <w:rPr>
          <w:rFonts w:ascii="Times New Roman" w:hAnsi="Times New Roman"/>
          <w:i/>
          <w:snapToGrid w:val="0"/>
          <w:sz w:val="20"/>
          <w:szCs w:val="20"/>
          <w:vertAlign w:val="subscript"/>
          <w:lang w:val="it-IT" w:eastAsia="it-IT"/>
        </w:rPr>
        <w:t>ui</w:t>
      </w:r>
      <w:r w:rsidRPr="003238A8">
        <w:rPr>
          <w:rFonts w:ascii="Times New Roman" w:hAnsi="Times New Roman"/>
          <w:i/>
          <w:snapToGrid w:val="0"/>
          <w:sz w:val="20"/>
          <w:szCs w:val="20"/>
          <w:lang w:val="it-IT" w:eastAsia="it-IT"/>
        </w:rPr>
        <w:t>, c</w:t>
      </w:r>
      <w:r w:rsidRPr="003238A8">
        <w:rPr>
          <w:rFonts w:ascii="Times New Roman" w:hAnsi="Times New Roman"/>
          <w:i/>
          <w:snapToGrid w:val="0"/>
          <w:sz w:val="20"/>
          <w:szCs w:val="20"/>
          <w:vertAlign w:val="subscript"/>
          <w:lang w:val="it-IT" w:eastAsia="it-IT"/>
        </w:rPr>
        <w:t>ki</w:t>
      </w:r>
      <w:r w:rsidRPr="003238A8">
        <w:rPr>
          <w:rFonts w:ascii="Times New Roman" w:hAnsi="Times New Roman"/>
          <w:i/>
          <w:snapToGrid w:val="0"/>
          <w:sz w:val="20"/>
          <w:szCs w:val="20"/>
          <w:lang w:val="it-IT" w:eastAsia="it-IT"/>
        </w:rPr>
        <w:t xml:space="preserve"> , t</w:t>
      </w:r>
      <w:r w:rsidRPr="003238A8">
        <w:rPr>
          <w:rFonts w:ascii="Times New Roman" w:hAnsi="Times New Roman"/>
          <w:i/>
          <w:snapToGrid w:val="0"/>
          <w:sz w:val="20"/>
          <w:szCs w:val="20"/>
          <w:vertAlign w:val="subscript"/>
          <w:lang w:val="it-IT" w:eastAsia="it-IT"/>
        </w:rPr>
        <w:t>ri</w:t>
      </w:r>
      <w:r w:rsidRPr="003238A8">
        <w:rPr>
          <w:rFonts w:ascii="Times New Roman" w:hAnsi="Times New Roman"/>
          <w:i/>
          <w:snapToGrid w:val="0"/>
          <w:sz w:val="20"/>
          <w:szCs w:val="20"/>
          <w:lang w:val="it-IT" w:eastAsia="it-IT"/>
        </w:rPr>
        <w:t>)</w:t>
      </w:r>
      <w:r w:rsidRPr="003238A8">
        <w:rPr>
          <w:rFonts w:ascii="Times New Roman" w:hAnsi="Times New Roman"/>
          <w:snapToGrid w:val="0"/>
          <w:sz w:val="20"/>
          <w:szCs w:val="20"/>
          <w:lang w:val="it-IT" w:eastAsia="it-IT"/>
        </w:rPr>
        <w:t xml:space="preserve">       (4)</w:t>
      </w:r>
    </w:p>
    <w:p w:rsidR="00C273A1" w:rsidRDefault="00C273A1" w:rsidP="00EA483B">
      <w:pPr>
        <w:spacing w:after="0"/>
        <w:jc w:val="both"/>
        <w:rPr>
          <w:rFonts w:ascii="Times New Roman" w:eastAsia="MS Mincho" w:hAnsi="Times New Roman"/>
          <w:sz w:val="20"/>
          <w:szCs w:val="20"/>
          <w:lang w:eastAsia="ja-JP"/>
        </w:rPr>
      </w:pPr>
      <w:r w:rsidRPr="003238A8">
        <w:rPr>
          <w:rFonts w:ascii="Times New Roman" w:eastAsia="MS Mincho" w:hAnsi="Times New Roman"/>
          <w:sz w:val="20"/>
          <w:szCs w:val="20"/>
          <w:lang w:eastAsia="ja-JP"/>
        </w:rPr>
        <w:t xml:space="preserve">The distribution of the disposable income </w:t>
      </w:r>
      <w:r w:rsidRPr="003238A8">
        <w:rPr>
          <w:rFonts w:ascii="Times New Roman" w:eastAsia="MS Mincho" w:hAnsi="Times New Roman"/>
          <w:i/>
          <w:sz w:val="20"/>
          <w:szCs w:val="20"/>
          <w:lang w:eastAsia="ja-JP"/>
        </w:rPr>
        <w:t>y</w:t>
      </w:r>
      <w:r w:rsidRPr="003238A8">
        <w:rPr>
          <w:rFonts w:ascii="Times New Roman" w:eastAsia="MS Mincho" w:hAnsi="Times New Roman"/>
          <w:i/>
          <w:sz w:val="20"/>
          <w:szCs w:val="20"/>
          <w:vertAlign w:val="subscript"/>
          <w:lang w:eastAsia="ja-JP"/>
        </w:rPr>
        <w:t>di</w:t>
      </w:r>
      <w:r w:rsidRPr="003238A8">
        <w:rPr>
          <w:rFonts w:ascii="Times New Roman" w:eastAsia="MS Mincho" w:hAnsi="Times New Roman"/>
          <w:sz w:val="20"/>
          <w:szCs w:val="20"/>
          <w:lang w:eastAsia="ja-JP"/>
        </w:rPr>
        <w:t>, is</w:t>
      </w:r>
      <w:r w:rsidRPr="003238A8">
        <w:rPr>
          <w:rFonts w:ascii="Times New Roman" w:eastAsia="MS Mincho" w:hAnsi="Times New Roman"/>
          <w:color w:val="FF0000"/>
          <w:sz w:val="20"/>
          <w:szCs w:val="20"/>
          <w:lang w:eastAsia="ja-JP"/>
        </w:rPr>
        <w:t xml:space="preserve"> </w:t>
      </w:r>
      <w:r w:rsidRPr="003238A8">
        <w:rPr>
          <w:rFonts w:ascii="Times New Roman" w:eastAsia="MS Mincho" w:hAnsi="Times New Roman"/>
          <w:sz w:val="20"/>
          <w:szCs w:val="20"/>
          <w:lang w:eastAsia="ja-JP"/>
        </w:rPr>
        <w:t>obtained from the distribution of market income taking into account of the impact of the redistributive policies.</w:t>
      </w:r>
      <w:r w:rsidRPr="003238A8">
        <w:rPr>
          <w:sz w:val="20"/>
          <w:szCs w:val="20"/>
        </w:rPr>
        <w:t xml:space="preserve"> </w:t>
      </w:r>
      <w:r w:rsidRPr="003238A8">
        <w:rPr>
          <w:rFonts w:ascii="Times New Roman" w:eastAsia="MS Mincho" w:hAnsi="Times New Roman"/>
          <w:sz w:val="20"/>
          <w:szCs w:val="20"/>
          <w:lang w:eastAsia="ja-JP"/>
        </w:rPr>
        <w:t>This impact reflects the structure of the redistributive mechanis</w:t>
      </w:r>
      <w:r w:rsidRPr="00A0444D">
        <w:rPr>
          <w:rFonts w:ascii="Times New Roman" w:eastAsia="MS Mincho" w:hAnsi="Times New Roman"/>
          <w:sz w:val="20"/>
          <w:szCs w:val="20"/>
          <w:lang w:eastAsia="ja-JP"/>
        </w:rPr>
        <w:t>ms that operate through the tax system (more or less progressive) and through the social security. Each economic unit (individual or household) according to his position within the economic system and to the interactions with the other units (enterprises, government) will contribute to the inequality in the distribution of both market and disposable income. The inequality in the market income will be higher when the ownership of capital/wealth is more concentrated, when the dispersion of wages and salaries is wider. Further the inequality will be higher when the exclusion from the market and the marginalization, that affect systematically some components of the labor force, specific industrial sectors or regions, is higher.</w:t>
      </w:r>
    </w:p>
    <w:p w:rsidR="00C273A1" w:rsidRPr="00A0444D" w:rsidRDefault="00C273A1" w:rsidP="00EA483B">
      <w:pPr>
        <w:spacing w:after="0"/>
        <w:jc w:val="both"/>
        <w:rPr>
          <w:rFonts w:ascii="Times New Roman" w:hAnsi="Times New Roman"/>
          <w:snapToGrid w:val="0"/>
          <w:sz w:val="20"/>
          <w:szCs w:val="20"/>
          <w:lang w:eastAsia="it-IT"/>
        </w:rPr>
      </w:pPr>
      <w:r w:rsidRPr="00A0444D">
        <w:rPr>
          <w:rFonts w:ascii="Times New Roman" w:hAnsi="Times New Roman"/>
          <w:sz w:val="20"/>
          <w:szCs w:val="20"/>
        </w:rPr>
        <w:t xml:space="preserve">Traditionally, the analysis of the personal income distribution considers households and not individuals as the reference units. This choice is justified by some considerations both from the methodological than by the empirical point of view: 1) some of the endowments are owned at the household level, 2) available data come generally from sample surveys conducted at the household level.  </w:t>
      </w:r>
      <w:r w:rsidRPr="00A0444D">
        <w:rPr>
          <w:rFonts w:ascii="Times New Roman" w:hAnsi="Times New Roman"/>
          <w:snapToGrid w:val="0"/>
          <w:sz w:val="20"/>
          <w:szCs w:val="20"/>
          <w:lang w:val="en-GB"/>
        </w:rPr>
        <w:t xml:space="preserve">For any household </w:t>
      </w:r>
      <w:r w:rsidRPr="00A0444D">
        <w:rPr>
          <w:rFonts w:ascii="Times New Roman" w:hAnsi="Times New Roman"/>
          <w:i/>
          <w:snapToGrid w:val="0"/>
          <w:sz w:val="20"/>
          <w:szCs w:val="20"/>
          <w:lang w:val="en-GB"/>
        </w:rPr>
        <w:t>h</w:t>
      </w:r>
      <w:r w:rsidRPr="00A0444D">
        <w:rPr>
          <w:rFonts w:ascii="Times New Roman" w:hAnsi="Times New Roman"/>
          <w:snapToGrid w:val="0"/>
          <w:sz w:val="20"/>
          <w:szCs w:val="20"/>
          <w:lang w:val="en-GB"/>
        </w:rPr>
        <w:t>, the level of income earned in the production activities (</w:t>
      </w:r>
      <w:r w:rsidRPr="00A0444D">
        <w:rPr>
          <w:rFonts w:ascii="Times New Roman" w:hAnsi="Times New Roman"/>
          <w:i/>
          <w:snapToGrid w:val="0"/>
          <w:sz w:val="20"/>
          <w:szCs w:val="20"/>
          <w:lang w:eastAsia="it-IT"/>
        </w:rPr>
        <w:t>y</w:t>
      </w:r>
      <w:r w:rsidRPr="00A0444D">
        <w:rPr>
          <w:rFonts w:ascii="Times New Roman" w:hAnsi="Times New Roman"/>
          <w:i/>
          <w:snapToGrid w:val="0"/>
          <w:sz w:val="20"/>
          <w:szCs w:val="20"/>
          <w:vertAlign w:val="subscript"/>
          <w:lang w:eastAsia="it-IT"/>
        </w:rPr>
        <w:t>mh</w:t>
      </w:r>
      <w:r w:rsidRPr="00A0444D">
        <w:rPr>
          <w:rFonts w:ascii="Times New Roman" w:hAnsi="Times New Roman"/>
          <w:snapToGrid w:val="0"/>
          <w:sz w:val="20"/>
          <w:szCs w:val="20"/>
          <w:lang w:eastAsia="it-IT"/>
        </w:rPr>
        <w:t>)</w:t>
      </w:r>
      <w:r w:rsidRPr="00A0444D">
        <w:rPr>
          <w:rFonts w:ascii="Times New Roman" w:hAnsi="Times New Roman"/>
          <w:snapToGrid w:val="0"/>
          <w:sz w:val="20"/>
          <w:szCs w:val="20"/>
          <w:lang w:val="en-GB"/>
        </w:rPr>
        <w:t>, in every period, can be expressed as:</w:t>
      </w:r>
      <w:r w:rsidRPr="00A0444D">
        <w:rPr>
          <w:rFonts w:ascii="Times New Roman" w:hAnsi="Times New Roman"/>
          <w:snapToGrid w:val="0"/>
          <w:sz w:val="20"/>
          <w:szCs w:val="20"/>
          <w:lang w:eastAsia="it-IT"/>
        </w:rPr>
        <w:t xml:space="preserve">          </w:t>
      </w:r>
    </w:p>
    <w:p w:rsidR="00C273A1" w:rsidRPr="00A0444D" w:rsidRDefault="00C273A1" w:rsidP="00155AE6">
      <w:pPr>
        <w:pStyle w:val="Corpotesto"/>
        <w:spacing w:after="0" w:line="240" w:lineRule="auto"/>
        <w:jc w:val="both"/>
        <w:rPr>
          <w:rFonts w:ascii="Times New Roman" w:hAnsi="Times New Roman"/>
          <w:snapToGrid w:val="0"/>
          <w:sz w:val="20"/>
          <w:szCs w:val="20"/>
          <w:lang w:eastAsia="it-IT"/>
        </w:rPr>
      </w:pPr>
      <w:r w:rsidRPr="00A0444D">
        <w:rPr>
          <w:rFonts w:ascii="Times New Roman" w:hAnsi="Times New Roman"/>
          <w:snapToGrid w:val="0"/>
          <w:sz w:val="20"/>
          <w:szCs w:val="20"/>
          <w:lang w:eastAsia="it-IT"/>
        </w:rPr>
        <w:t xml:space="preserve">                  </w:t>
      </w:r>
      <w:r w:rsidRPr="00A0444D">
        <w:rPr>
          <w:rFonts w:ascii="Times New Roman" w:hAnsi="Times New Roman"/>
          <w:i/>
          <w:snapToGrid w:val="0"/>
          <w:sz w:val="20"/>
          <w:szCs w:val="20"/>
          <w:lang w:eastAsia="it-IT"/>
        </w:rPr>
        <w:t>y</w:t>
      </w:r>
      <w:r w:rsidRPr="00A0444D">
        <w:rPr>
          <w:rFonts w:ascii="Times New Roman" w:hAnsi="Times New Roman"/>
          <w:i/>
          <w:snapToGrid w:val="0"/>
          <w:sz w:val="20"/>
          <w:szCs w:val="20"/>
          <w:vertAlign w:val="subscript"/>
          <w:lang w:eastAsia="it-IT"/>
        </w:rPr>
        <w:t>mh</w:t>
      </w:r>
      <w:r w:rsidRPr="00A0444D">
        <w:rPr>
          <w:rFonts w:ascii="Times New Roman" w:hAnsi="Times New Roman"/>
          <w:snapToGrid w:val="0"/>
          <w:sz w:val="20"/>
          <w:szCs w:val="20"/>
          <w:lang w:eastAsia="it-IT"/>
        </w:rPr>
        <w:t xml:space="preserve"> = </w:t>
      </w:r>
      <w:r w:rsidRPr="00A0444D">
        <w:rPr>
          <w:rFonts w:ascii="Times New Roman" w:hAnsi="Times New Roman"/>
          <w:i/>
          <w:snapToGrid w:val="0"/>
          <w:sz w:val="20"/>
          <w:szCs w:val="20"/>
          <w:lang w:eastAsia="it-IT"/>
        </w:rPr>
        <w:t>f (c</w:t>
      </w:r>
      <w:r w:rsidRPr="00A0444D">
        <w:rPr>
          <w:rFonts w:ascii="Times New Roman" w:hAnsi="Times New Roman"/>
          <w:i/>
          <w:snapToGrid w:val="0"/>
          <w:position w:val="-6"/>
          <w:sz w:val="20"/>
          <w:szCs w:val="20"/>
          <w:vertAlign w:val="subscript"/>
          <w:lang w:eastAsia="it-IT"/>
        </w:rPr>
        <w:t>uh</w:t>
      </w:r>
      <w:r w:rsidRPr="00A0444D">
        <w:rPr>
          <w:rFonts w:ascii="Times New Roman" w:hAnsi="Times New Roman"/>
          <w:i/>
          <w:snapToGrid w:val="0"/>
          <w:sz w:val="20"/>
          <w:szCs w:val="20"/>
          <w:lang w:eastAsia="it-IT"/>
        </w:rPr>
        <w:t>, c</w:t>
      </w:r>
      <w:r w:rsidRPr="00A0444D">
        <w:rPr>
          <w:rFonts w:ascii="Times New Roman" w:hAnsi="Times New Roman"/>
          <w:i/>
          <w:snapToGrid w:val="0"/>
          <w:position w:val="-6"/>
          <w:sz w:val="20"/>
          <w:szCs w:val="20"/>
          <w:vertAlign w:val="subscript"/>
          <w:lang w:eastAsia="it-IT"/>
        </w:rPr>
        <w:t>kh</w:t>
      </w:r>
      <w:r w:rsidRPr="00A0444D">
        <w:rPr>
          <w:rFonts w:ascii="Times New Roman" w:hAnsi="Times New Roman"/>
          <w:i/>
          <w:snapToGrid w:val="0"/>
          <w:sz w:val="20"/>
          <w:szCs w:val="20"/>
          <w:lang w:eastAsia="it-IT"/>
        </w:rPr>
        <w:t xml:space="preserve"> )</w:t>
      </w:r>
      <w:r w:rsidRPr="00A0444D">
        <w:rPr>
          <w:rFonts w:ascii="Times New Roman" w:hAnsi="Times New Roman"/>
          <w:snapToGrid w:val="0"/>
          <w:sz w:val="20"/>
          <w:szCs w:val="20"/>
          <w:lang w:eastAsia="it-IT"/>
        </w:rPr>
        <w:t xml:space="preserve">                 (5)</w:t>
      </w:r>
    </w:p>
    <w:p w:rsidR="00C273A1" w:rsidRPr="00A0444D" w:rsidRDefault="00C273A1" w:rsidP="00155AE6">
      <w:pPr>
        <w:pStyle w:val="PreformattatoHTML"/>
        <w:jc w:val="both"/>
        <w:rPr>
          <w:rFonts w:ascii="Times New Roman" w:hAnsi="Times New Roman" w:cs="Times New Roman"/>
          <w:snapToGrid w:val="0"/>
          <w:lang w:val="en-IE"/>
        </w:rPr>
      </w:pPr>
      <w:r w:rsidRPr="00A0444D">
        <w:rPr>
          <w:rFonts w:ascii="Times New Roman" w:hAnsi="Times New Roman" w:cs="Times New Roman"/>
          <w:snapToGrid w:val="0"/>
          <w:lang w:val="en-GB"/>
        </w:rPr>
        <w:t xml:space="preserve">The function </w:t>
      </w:r>
      <w:r w:rsidRPr="00A0444D">
        <w:rPr>
          <w:rFonts w:ascii="Times New Roman" w:hAnsi="Times New Roman" w:cs="Times New Roman"/>
          <w:i/>
          <w:snapToGrid w:val="0"/>
          <w:lang w:val="en-GB"/>
        </w:rPr>
        <w:t>f</w:t>
      </w:r>
      <w:r w:rsidRPr="00A0444D">
        <w:rPr>
          <w:rFonts w:ascii="Times New Roman" w:hAnsi="Times New Roman" w:cs="Times New Roman"/>
          <w:snapToGrid w:val="0"/>
          <w:lang w:val="en-GB"/>
        </w:rPr>
        <w:t xml:space="preserve"> is the “household income generation function</w:t>
      </w:r>
      <w:r w:rsidRPr="003238A8">
        <w:rPr>
          <w:rFonts w:ascii="Times New Roman" w:hAnsi="Times New Roman" w:cs="Times New Roman"/>
          <w:snapToGrid w:val="0"/>
          <w:lang w:val="en-GB"/>
        </w:rPr>
        <w:t xml:space="preserve">” which transforms personal endowments, owned at the household level </w:t>
      </w:r>
      <w:r w:rsidRPr="003238A8">
        <w:rPr>
          <w:rFonts w:ascii="Times New Roman" w:hAnsi="Times New Roman"/>
          <w:i/>
          <w:snapToGrid w:val="0"/>
          <w:lang w:eastAsia="it-IT"/>
        </w:rPr>
        <w:t>c</w:t>
      </w:r>
      <w:r w:rsidRPr="003238A8">
        <w:rPr>
          <w:rFonts w:ascii="Times New Roman" w:hAnsi="Times New Roman"/>
          <w:i/>
          <w:snapToGrid w:val="0"/>
          <w:position w:val="-6"/>
          <w:vertAlign w:val="subscript"/>
          <w:lang w:eastAsia="it-IT"/>
        </w:rPr>
        <w:t>uh</w:t>
      </w:r>
      <w:r w:rsidRPr="003238A8">
        <w:rPr>
          <w:rFonts w:ascii="Times New Roman" w:hAnsi="Times New Roman"/>
          <w:i/>
          <w:snapToGrid w:val="0"/>
          <w:lang w:eastAsia="it-IT"/>
        </w:rPr>
        <w:t>, c</w:t>
      </w:r>
      <w:r w:rsidRPr="003238A8">
        <w:rPr>
          <w:rFonts w:ascii="Times New Roman" w:hAnsi="Times New Roman"/>
          <w:i/>
          <w:snapToGrid w:val="0"/>
          <w:position w:val="-6"/>
          <w:vertAlign w:val="subscript"/>
          <w:lang w:eastAsia="it-IT"/>
        </w:rPr>
        <w:t>kh</w:t>
      </w:r>
      <w:r w:rsidRPr="003238A8">
        <w:rPr>
          <w:rFonts w:ascii="Times New Roman" w:hAnsi="Times New Roman" w:cs="Times New Roman"/>
          <w:snapToGrid w:val="0"/>
          <w:lang w:val="en-GB"/>
        </w:rPr>
        <w:t xml:space="preserve"> in household earnings </w:t>
      </w:r>
      <w:r w:rsidRPr="003238A8">
        <w:rPr>
          <w:rFonts w:ascii="Times New Roman" w:hAnsi="Times New Roman"/>
          <w:i/>
          <w:snapToGrid w:val="0"/>
          <w:lang w:eastAsia="it-IT"/>
        </w:rPr>
        <w:t>y</w:t>
      </w:r>
      <w:r w:rsidRPr="003238A8">
        <w:rPr>
          <w:rFonts w:ascii="Times New Roman" w:hAnsi="Times New Roman"/>
          <w:i/>
          <w:snapToGrid w:val="0"/>
          <w:vertAlign w:val="subscript"/>
          <w:lang w:eastAsia="it-IT"/>
        </w:rPr>
        <w:t>mh</w:t>
      </w:r>
      <w:r w:rsidRPr="003238A8">
        <w:rPr>
          <w:rFonts w:ascii="Times New Roman" w:hAnsi="Times New Roman" w:cs="Times New Roman"/>
          <w:snapToGrid w:val="0"/>
          <w:lang w:val="en-GB"/>
        </w:rPr>
        <w:t xml:space="preserve">, </w:t>
      </w:r>
      <w:r w:rsidRPr="00A0444D">
        <w:rPr>
          <w:rFonts w:ascii="Times New Roman" w:hAnsi="Times New Roman" w:cs="Times New Roman"/>
          <w:snapToGrid w:val="0"/>
          <w:lang w:val="en-GB"/>
        </w:rPr>
        <w:t xml:space="preserve">given the productive structure, the technologies, and the market rules </w:t>
      </w:r>
      <w:r w:rsidRPr="00A0444D">
        <w:rPr>
          <w:rStyle w:val="shorttext"/>
          <w:rFonts w:ascii="Times New Roman" w:hAnsi="Times New Roman"/>
          <w:color w:val="222222"/>
        </w:rPr>
        <w:t>that determine</w:t>
      </w:r>
      <w:r w:rsidRPr="00A0444D">
        <w:rPr>
          <w:rFonts w:ascii="Times New Roman" w:hAnsi="Times New Roman" w:cs="Times New Roman"/>
          <w:snapToGrid w:val="0"/>
          <w:lang w:val="en-GB"/>
        </w:rPr>
        <w:t xml:space="preserve"> the functional distribution</w:t>
      </w:r>
      <w:r>
        <w:rPr>
          <w:rFonts w:ascii="Times New Roman" w:hAnsi="Times New Roman" w:cs="Times New Roman"/>
          <w:snapToGrid w:val="0"/>
          <w:lang w:val="en-GB"/>
        </w:rPr>
        <w:t xml:space="preserve"> </w:t>
      </w:r>
      <w:r w:rsidRPr="003238A8">
        <w:rPr>
          <w:rFonts w:ascii="Times New Roman" w:hAnsi="Times New Roman" w:cs="Times New Roman"/>
          <w:snapToGrid w:val="0"/>
          <w:lang w:val="en-GB"/>
        </w:rPr>
        <w:t xml:space="preserve">of the value added.  </w:t>
      </w:r>
      <w:r w:rsidRPr="00A0444D">
        <w:rPr>
          <w:rFonts w:ascii="Times New Roman" w:hAnsi="Times New Roman" w:cs="Times New Roman"/>
          <w:snapToGrid w:val="0"/>
          <w:lang w:val="en-GB"/>
        </w:rPr>
        <w:t>Atkinson (2015, p. 103) argues that “</w:t>
      </w:r>
      <w:r w:rsidRPr="00A0444D">
        <w:rPr>
          <w:rFonts w:ascii="Times New Roman" w:eastAsia="MS Mincho" w:hAnsi="Times New Roman" w:cs="Times New Roman"/>
          <w:lang w:eastAsia="ja-JP"/>
        </w:rPr>
        <w:t>household income, and its distribution, derives not only on macroeconomic factors” but also on other factors that have been called “entitlement rules” by Andrea Brandolini. These rules can be defined as the “mechanisms regulating the appropriation of the output of the economy, or…as the “filter” between the production and its distribution among people” (Brandolini, 1992, p.5)</w:t>
      </w:r>
    </w:p>
    <w:p w:rsidR="00C273A1" w:rsidRPr="00A0444D" w:rsidRDefault="00C273A1" w:rsidP="00155AE6">
      <w:pPr>
        <w:autoSpaceDE w:val="0"/>
        <w:autoSpaceDN w:val="0"/>
        <w:adjustRightInd w:val="0"/>
        <w:spacing w:after="0" w:line="240" w:lineRule="auto"/>
        <w:ind w:right="113"/>
        <w:jc w:val="both"/>
        <w:rPr>
          <w:rFonts w:ascii="Times New Roman" w:hAnsi="Times New Roman"/>
          <w:color w:val="000000"/>
          <w:sz w:val="20"/>
          <w:szCs w:val="20"/>
          <w:lang w:val="en-GB"/>
        </w:rPr>
      </w:pPr>
      <w:r w:rsidRPr="00A0444D">
        <w:rPr>
          <w:rFonts w:ascii="Times New Roman" w:hAnsi="Times New Roman"/>
          <w:snapToGrid w:val="0"/>
          <w:sz w:val="20"/>
          <w:szCs w:val="20"/>
          <w:lang w:val="en-GB"/>
        </w:rPr>
        <w:t xml:space="preserve">The households can be classified into different socio-economic groups in order to be meaningful and homogenous from the point of view of the process of generation and distribution of income. The choice of the level of disaggregation and of the type of socio-economic groups depends above all on the goals of the researcher. </w:t>
      </w:r>
      <w:r w:rsidRPr="00A0444D">
        <w:rPr>
          <w:rFonts w:ascii="Times New Roman" w:hAnsi="Times New Roman"/>
          <w:color w:val="000000"/>
          <w:sz w:val="20"/>
          <w:szCs w:val="20"/>
          <w:lang w:val="en-GB"/>
        </w:rPr>
        <w:t>Households’ classification has to be chosen in accordance with the overall analytical or policy focus and to a degree that can be supported by the data (SNA, 1993; chapter XX). Many different criteria can be selected including: geographical location (e.g. urban-rural), assets (e.g. wealth, size of land holding) and the socio-economic characteristics of a representative individual (e.g. household head or principal earner).</w:t>
      </w:r>
    </w:p>
    <w:p w:rsidR="00C273A1" w:rsidRPr="00A0444D" w:rsidRDefault="00C273A1" w:rsidP="00155AE6">
      <w:pPr>
        <w:autoSpaceDE w:val="0"/>
        <w:autoSpaceDN w:val="0"/>
        <w:adjustRightInd w:val="0"/>
        <w:spacing w:after="0" w:line="240" w:lineRule="auto"/>
        <w:ind w:right="113"/>
        <w:jc w:val="both"/>
        <w:rPr>
          <w:rFonts w:ascii="Times New Roman" w:hAnsi="Times New Roman"/>
          <w:color w:val="000000"/>
          <w:sz w:val="20"/>
          <w:szCs w:val="20"/>
          <w:lang w:val="en-GB"/>
        </w:rPr>
      </w:pPr>
      <w:r w:rsidRPr="00A0444D">
        <w:rPr>
          <w:rFonts w:ascii="Times New Roman" w:hAnsi="Times New Roman"/>
          <w:color w:val="000000"/>
          <w:sz w:val="20"/>
          <w:szCs w:val="20"/>
          <w:lang w:val="en-GB"/>
        </w:rPr>
        <w:t xml:space="preserve">A suitable classification of the productive factors which make up the households’ endowments, should be chosen in order to identify the different factor markets. </w:t>
      </w:r>
      <w:r w:rsidRPr="00A0444D">
        <w:rPr>
          <w:rFonts w:ascii="Times New Roman" w:hAnsi="Times New Roman"/>
          <w:snapToGrid w:val="0"/>
          <w:sz w:val="20"/>
          <w:szCs w:val="20"/>
          <w:lang w:val="en-GB"/>
        </w:rPr>
        <w:t>This classification should allow catching up the effects of policies aimed to increase the level of competitiveness of the system, to promote the compliance for the rules of the labour market and to favour technological changes that “increases the employability of workers” (Atkinson, 2015, pp. 118-119).</w:t>
      </w:r>
      <w:r>
        <w:rPr>
          <w:rFonts w:ascii="Times New Roman" w:hAnsi="Times New Roman"/>
          <w:snapToGrid w:val="0"/>
          <w:sz w:val="20"/>
          <w:szCs w:val="20"/>
          <w:lang w:val="en-GB"/>
        </w:rPr>
        <w:t xml:space="preserve"> </w:t>
      </w:r>
      <w:r w:rsidRPr="00A0444D">
        <w:rPr>
          <w:rFonts w:ascii="Times New Roman" w:hAnsi="Times New Roman"/>
          <w:color w:val="000000"/>
          <w:sz w:val="20"/>
          <w:szCs w:val="20"/>
          <w:lang w:val="en-GB"/>
        </w:rPr>
        <w:t xml:space="preserve">The labor factor can be cross-classified by location (e.g. urban-rural, or geographical region), skill </w:t>
      </w:r>
      <w:r w:rsidRPr="00A0444D">
        <w:rPr>
          <w:rFonts w:ascii="Times New Roman" w:hAnsi="Times New Roman"/>
          <w:sz w:val="20"/>
          <w:szCs w:val="20"/>
          <w:lang w:val="en-GB"/>
        </w:rPr>
        <w:t>or qualifications obtained</w:t>
      </w:r>
      <w:r w:rsidRPr="00A0444D">
        <w:rPr>
          <w:rFonts w:ascii="Times New Roman" w:hAnsi="Times New Roman"/>
          <w:color w:val="000000"/>
          <w:sz w:val="20"/>
          <w:szCs w:val="20"/>
          <w:lang w:val="en-GB"/>
        </w:rPr>
        <w:t xml:space="preserve">, employment status (e.g. employee, own account worker, employer) and by gender. This factor generates different type of labor income depending on employment status: dependent or independent. Mixed income (a category suggested in the 1993 SNA) is </w:t>
      </w:r>
      <w:r w:rsidRPr="00A54D92">
        <w:rPr>
          <w:rFonts w:ascii="Times New Roman" w:hAnsi="Times New Roman"/>
          <w:color w:val="000000"/>
          <w:sz w:val="20"/>
          <w:szCs w:val="20"/>
          <w:lang w:val="en-GB"/>
        </w:rPr>
        <w:t xml:space="preserve">also frequently chosen as a category to represent the income of household enterprises (where it is difficult to distinguish the returns </w:t>
      </w:r>
      <w:r w:rsidRPr="00A54D92">
        <w:rPr>
          <w:rFonts w:ascii="Times New Roman" w:hAnsi="Times New Roman"/>
          <w:sz w:val="20"/>
          <w:szCs w:val="20"/>
          <w:lang w:val="en-GB"/>
        </w:rPr>
        <w:t>from</w:t>
      </w:r>
      <w:r w:rsidRPr="00A54D92">
        <w:rPr>
          <w:rFonts w:ascii="Times New Roman" w:hAnsi="Times New Roman"/>
          <w:color w:val="000000"/>
          <w:sz w:val="20"/>
          <w:szCs w:val="20"/>
          <w:lang w:val="en-GB"/>
        </w:rPr>
        <w:t xml:space="preserve"> labor from the returns </w:t>
      </w:r>
      <w:r w:rsidRPr="00A54D92">
        <w:rPr>
          <w:rFonts w:ascii="Times New Roman" w:hAnsi="Times New Roman"/>
          <w:sz w:val="20"/>
          <w:szCs w:val="20"/>
          <w:lang w:val="en-GB"/>
        </w:rPr>
        <w:t xml:space="preserve">of </w:t>
      </w:r>
      <w:r w:rsidRPr="00A54D92">
        <w:rPr>
          <w:rFonts w:ascii="Times New Roman" w:hAnsi="Times New Roman"/>
          <w:color w:val="000000"/>
          <w:sz w:val="20"/>
          <w:szCs w:val="20"/>
          <w:lang w:val="en-GB"/>
        </w:rPr>
        <w:t>other factors</w:t>
      </w:r>
      <w:r w:rsidRPr="003238A8">
        <w:rPr>
          <w:rFonts w:ascii="Times New Roman" w:hAnsi="Times New Roman"/>
          <w:color w:val="000000"/>
          <w:sz w:val="20"/>
          <w:szCs w:val="20"/>
          <w:lang w:val="en-GB"/>
        </w:rPr>
        <w:t>)</w:t>
      </w:r>
      <w:r w:rsidRPr="00A0444D">
        <w:rPr>
          <w:rFonts w:ascii="Times New Roman" w:hAnsi="Times New Roman"/>
          <w:color w:val="000000"/>
          <w:sz w:val="20"/>
          <w:szCs w:val="20"/>
          <w:lang w:val="en-GB"/>
        </w:rPr>
        <w:t xml:space="preserve"> and it is also cross-classified in a similar way to labor. Generally  no distinction is made between different types of capital and natural resources.</w:t>
      </w:r>
    </w:p>
    <w:p w:rsidR="00C273A1" w:rsidRPr="001136B7" w:rsidRDefault="00C273A1" w:rsidP="00155AE6">
      <w:pPr>
        <w:spacing w:after="0" w:line="240" w:lineRule="auto"/>
        <w:ind w:right="113"/>
        <w:jc w:val="both"/>
        <w:rPr>
          <w:rFonts w:ascii="Times New Roman" w:hAnsi="Times New Roman"/>
          <w:sz w:val="20"/>
          <w:szCs w:val="20"/>
          <w:lang w:val="en-GB"/>
        </w:rPr>
      </w:pPr>
      <w:r w:rsidRPr="003238A8">
        <w:rPr>
          <w:rFonts w:ascii="Times New Roman" w:hAnsi="Times New Roman"/>
          <w:snapToGrid w:val="0"/>
          <w:sz w:val="20"/>
          <w:szCs w:val="20"/>
          <w:lang w:val="en-GB"/>
        </w:rPr>
        <w:t>In a first, very simplified framework, taking in account only of the relations between households and the productive sectors, the</w:t>
      </w:r>
      <w:r w:rsidRPr="00A0444D">
        <w:rPr>
          <w:rFonts w:ascii="Times New Roman" w:hAnsi="Times New Roman"/>
          <w:snapToGrid w:val="0"/>
          <w:sz w:val="20"/>
          <w:szCs w:val="20"/>
          <w:lang w:val="en-GB"/>
        </w:rPr>
        <w:t xml:space="preserve"> set of all household market incomes can be represented as a block matrix </w:t>
      </w:r>
      <w:r w:rsidRPr="003238A8">
        <w:rPr>
          <w:rFonts w:ascii="Times New Roman" w:hAnsi="Times New Roman"/>
          <w:b/>
          <w:snapToGrid w:val="0"/>
          <w:sz w:val="20"/>
          <w:szCs w:val="20"/>
          <w:lang w:val="en-GB"/>
        </w:rPr>
        <w:t>D</w:t>
      </w:r>
      <w:r w:rsidRPr="003238A8">
        <w:rPr>
          <w:rFonts w:ascii="Times New Roman" w:hAnsi="Times New Roman"/>
          <w:snapToGrid w:val="0"/>
          <w:sz w:val="20"/>
          <w:szCs w:val="20"/>
          <w:lang w:val="en-GB"/>
        </w:rPr>
        <w:t xml:space="preserve">, </w:t>
      </w:r>
      <w:r w:rsidRPr="00A54D92">
        <w:rPr>
          <w:rFonts w:ascii="Times New Roman" w:hAnsi="Times New Roman"/>
          <w:snapToGrid w:val="0"/>
          <w:sz w:val="20"/>
          <w:szCs w:val="20"/>
          <w:lang w:val="en-GB"/>
        </w:rPr>
        <w:t>where, following</w:t>
      </w:r>
      <w:r w:rsidRPr="003238A8">
        <w:rPr>
          <w:rFonts w:ascii="Times New Roman" w:hAnsi="Times New Roman"/>
          <w:snapToGrid w:val="0"/>
          <w:sz w:val="20"/>
          <w:szCs w:val="20"/>
          <w:lang w:val="en-GB"/>
        </w:rPr>
        <w:t xml:space="preserve"> a functional criteria, the incomes are splitted only in three categories.</w:t>
      </w:r>
      <w:r>
        <w:rPr>
          <w:rFonts w:ascii="Times New Roman" w:hAnsi="Times New Roman"/>
          <w:snapToGrid w:val="0"/>
          <w:sz w:val="20"/>
          <w:szCs w:val="20"/>
          <w:lang w:val="en-GB"/>
        </w:rPr>
        <w:t xml:space="preserve"> </w:t>
      </w:r>
      <w:r w:rsidRPr="001136B7">
        <w:rPr>
          <w:rFonts w:ascii="Times New Roman" w:hAnsi="Times New Roman"/>
          <w:snapToGrid w:val="0"/>
          <w:sz w:val="20"/>
          <w:szCs w:val="20"/>
          <w:lang w:val="en-GB"/>
        </w:rPr>
        <w:t xml:space="preserve">Obviously the number of the productive factors considered could be more than the three here used. </w:t>
      </w:r>
      <w:r w:rsidRPr="00A0444D">
        <w:rPr>
          <w:rFonts w:ascii="Times New Roman" w:hAnsi="Times New Roman"/>
          <w:snapToGrid w:val="0"/>
          <w:sz w:val="20"/>
          <w:szCs w:val="20"/>
          <w:lang w:val="en-GB"/>
        </w:rPr>
        <w:t xml:space="preserve">The first column shows the blocks of the income from dependent employment of each group of households, the second column shows the blocks of the income from independent employment and the third column shows the blocks of the income from capital. In the matrix </w:t>
      </w:r>
      <w:r w:rsidRPr="00A0444D">
        <w:rPr>
          <w:rFonts w:ascii="Times New Roman" w:hAnsi="Times New Roman"/>
          <w:b/>
          <w:snapToGrid w:val="0"/>
          <w:sz w:val="20"/>
          <w:szCs w:val="20"/>
          <w:lang w:val="en-GB"/>
        </w:rPr>
        <w:t>D</w:t>
      </w:r>
      <w:r w:rsidRPr="00A0444D">
        <w:rPr>
          <w:rFonts w:ascii="Times New Roman" w:hAnsi="Times New Roman"/>
          <w:snapToGrid w:val="0"/>
          <w:sz w:val="20"/>
          <w:szCs w:val="20"/>
          <w:lang w:val="en-GB"/>
        </w:rPr>
        <w:t xml:space="preserve"> some elements can be equal to zero when the household of the row does not have all types of income considered in the functional distribution.</w:t>
      </w:r>
      <w:r>
        <w:rPr>
          <w:rFonts w:ascii="Times New Roman" w:hAnsi="Times New Roman"/>
          <w:snapToGrid w:val="0"/>
          <w:sz w:val="20"/>
          <w:szCs w:val="20"/>
          <w:lang w:val="en-GB"/>
        </w:rPr>
        <w:t xml:space="preserve">  </w:t>
      </w:r>
      <w:r w:rsidRPr="001136B7">
        <w:rPr>
          <w:rFonts w:ascii="Times New Roman" w:hAnsi="Times New Roman"/>
          <w:snapToGrid w:val="0"/>
          <w:sz w:val="20"/>
          <w:szCs w:val="20"/>
          <w:lang w:val="en-GB"/>
        </w:rPr>
        <w:t>The households have been grouped according to their level of income in</w:t>
      </w:r>
      <w:r w:rsidRPr="001136B7">
        <w:rPr>
          <w:rFonts w:ascii="Times New Roman" w:hAnsi="Times New Roman"/>
          <w:sz w:val="20"/>
          <w:szCs w:val="20"/>
          <w:lang w:val="en-GB"/>
        </w:rPr>
        <w:t xml:space="preserve"> decile/percentile groups.</w:t>
      </w:r>
    </w:p>
    <w:p w:rsidR="00C273A1" w:rsidRPr="000209ED" w:rsidRDefault="00C273A1" w:rsidP="002B1E64">
      <w:pPr>
        <w:spacing w:after="0" w:line="240" w:lineRule="auto"/>
        <w:ind w:right="113"/>
        <w:jc w:val="both"/>
        <w:rPr>
          <w:rFonts w:ascii="Times New Roman" w:hAnsi="Times New Roman"/>
          <w:snapToGrid w:val="0"/>
          <w:color w:val="FF0000"/>
          <w:sz w:val="20"/>
          <w:szCs w:val="20"/>
          <w:lang w:val="en-GB"/>
        </w:rPr>
      </w:pPr>
    </w:p>
    <w:p w:rsidR="00C273A1" w:rsidRDefault="00C273A1" w:rsidP="002B1E64">
      <w:pPr>
        <w:spacing w:line="240" w:lineRule="auto"/>
        <w:ind w:right="113"/>
        <w:jc w:val="both"/>
        <w:rPr>
          <w:rFonts w:ascii="Times New Roman" w:hAnsi="Times New Roman"/>
          <w:snapToGrid w:val="0"/>
          <w:sz w:val="20"/>
          <w:szCs w:val="20"/>
          <w:lang w:val="en-GB"/>
        </w:rPr>
      </w:pPr>
    </w:p>
    <w:p w:rsidR="00C273A1" w:rsidRPr="00A0444D" w:rsidRDefault="00C273A1" w:rsidP="002B1E64">
      <w:pPr>
        <w:spacing w:line="240" w:lineRule="auto"/>
        <w:ind w:right="113"/>
        <w:jc w:val="both"/>
        <w:rPr>
          <w:rFonts w:ascii="Times New Roman" w:hAnsi="Times New Roman"/>
          <w:snapToGrid w:val="0"/>
          <w:sz w:val="20"/>
          <w:szCs w:val="20"/>
          <w:lang w:val="en-GB"/>
        </w:rPr>
      </w:pPr>
      <w:r>
        <w:rPr>
          <w:rFonts w:ascii="Times New Roman" w:hAnsi="Times New Roman"/>
          <w:snapToGrid w:val="0"/>
          <w:sz w:val="20"/>
          <w:szCs w:val="20"/>
          <w:lang w:val="en-GB"/>
        </w:rPr>
        <w:br w:type="page"/>
        <w:t xml:space="preserve">Table 1 – Block matrix </w:t>
      </w:r>
      <w:r w:rsidRPr="00B401D2">
        <w:rPr>
          <w:rFonts w:ascii="Times New Roman" w:hAnsi="Times New Roman"/>
          <w:b/>
          <w:snapToGrid w:val="0"/>
          <w:sz w:val="20"/>
          <w:szCs w:val="20"/>
          <w:lang w:val="en-GB"/>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322"/>
        <w:gridCol w:w="1800"/>
        <w:gridCol w:w="1980"/>
        <w:gridCol w:w="1620"/>
      </w:tblGrid>
      <w:tr w:rsidR="00C273A1" w:rsidRPr="00A0444D" w:rsidTr="000D094B">
        <w:trPr>
          <w:trHeight w:val="170"/>
        </w:trPr>
        <w:tc>
          <w:tcPr>
            <w:tcW w:w="3348" w:type="dxa"/>
            <w:gridSpan w:val="2"/>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FACTORS</w:t>
            </w:r>
          </w:p>
        </w:tc>
        <w:tc>
          <w:tcPr>
            <w:tcW w:w="5400" w:type="dxa"/>
            <w:gridSpan w:val="3"/>
          </w:tcPr>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Income from</w:t>
            </w:r>
          </w:p>
        </w:tc>
      </w:tr>
      <w:tr w:rsidR="00C273A1" w:rsidRPr="00A0444D" w:rsidTr="000D094B">
        <w:trPr>
          <w:cantSplit/>
          <w:trHeight w:val="936"/>
        </w:trPr>
        <w:tc>
          <w:tcPr>
            <w:tcW w:w="3348" w:type="dxa"/>
            <w:gridSpan w:val="2"/>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Households</w:t>
            </w:r>
          </w:p>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Groups                        Households</w:t>
            </w:r>
          </w:p>
        </w:tc>
        <w:tc>
          <w:tcPr>
            <w:tcW w:w="1800" w:type="dxa"/>
          </w:tcPr>
          <w:p w:rsidR="00C273A1" w:rsidRPr="00A0444D" w:rsidRDefault="00C273A1" w:rsidP="000D094B">
            <w:pPr>
              <w:spacing w:line="240" w:lineRule="auto"/>
              <w:ind w:right="113"/>
              <w:jc w:val="both"/>
              <w:rPr>
                <w:rFonts w:ascii="Times New Roman" w:hAnsi="Times New Roman"/>
                <w:snapToGrid w:val="0"/>
                <w:sz w:val="20"/>
                <w:szCs w:val="20"/>
                <w:lang w:val="en-GB"/>
              </w:rPr>
            </w:pPr>
          </w:p>
          <w:p w:rsidR="00C273A1" w:rsidRPr="00A0444D" w:rsidRDefault="00C273A1" w:rsidP="000D094B">
            <w:pPr>
              <w:spacing w:line="240" w:lineRule="auto"/>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Dependent</w:t>
            </w:r>
          </w:p>
          <w:p w:rsidR="00C273A1" w:rsidRPr="00A0444D" w:rsidRDefault="00C273A1" w:rsidP="000D094B">
            <w:pPr>
              <w:spacing w:line="240" w:lineRule="auto"/>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labor</w:t>
            </w:r>
          </w:p>
        </w:tc>
        <w:tc>
          <w:tcPr>
            <w:tcW w:w="1980" w:type="dxa"/>
          </w:tcPr>
          <w:p w:rsidR="00C273A1" w:rsidRPr="00A0444D" w:rsidRDefault="00C273A1" w:rsidP="000D094B">
            <w:pPr>
              <w:spacing w:line="240" w:lineRule="auto"/>
              <w:ind w:right="113"/>
              <w:jc w:val="both"/>
              <w:rPr>
                <w:rFonts w:ascii="Times New Roman" w:hAnsi="Times New Roman"/>
                <w:snapToGrid w:val="0"/>
                <w:sz w:val="20"/>
                <w:szCs w:val="20"/>
                <w:lang w:val="en-GB"/>
              </w:rPr>
            </w:pPr>
          </w:p>
          <w:p w:rsidR="00C273A1" w:rsidRPr="00A0444D" w:rsidRDefault="00C273A1" w:rsidP="000D094B">
            <w:pPr>
              <w:spacing w:line="240" w:lineRule="auto"/>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Independent </w:t>
            </w:r>
          </w:p>
          <w:p w:rsidR="00C273A1" w:rsidRPr="00A0444D" w:rsidRDefault="00C273A1" w:rsidP="000D094B">
            <w:pPr>
              <w:spacing w:line="240" w:lineRule="auto"/>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labor</w:t>
            </w:r>
          </w:p>
        </w:tc>
        <w:tc>
          <w:tcPr>
            <w:tcW w:w="1620" w:type="dxa"/>
          </w:tcPr>
          <w:p w:rsidR="00C273A1" w:rsidRPr="00A0444D" w:rsidRDefault="00C273A1" w:rsidP="000D094B">
            <w:pPr>
              <w:spacing w:line="240" w:lineRule="auto"/>
              <w:ind w:right="113"/>
              <w:jc w:val="both"/>
              <w:rPr>
                <w:rFonts w:ascii="Times New Roman" w:hAnsi="Times New Roman"/>
                <w:snapToGrid w:val="0"/>
                <w:sz w:val="20"/>
                <w:szCs w:val="20"/>
                <w:lang w:val="en-GB"/>
              </w:rPr>
            </w:pPr>
          </w:p>
          <w:p w:rsidR="00C273A1" w:rsidRPr="00A0444D" w:rsidRDefault="00C273A1" w:rsidP="000D094B">
            <w:pPr>
              <w:spacing w:line="240" w:lineRule="auto"/>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Capital</w:t>
            </w:r>
          </w:p>
        </w:tc>
      </w:tr>
      <w:tr w:rsidR="00C273A1" w:rsidRPr="00A0444D" w:rsidTr="000D094B">
        <w:trPr>
          <w:trHeight w:val="1617"/>
        </w:trPr>
        <w:tc>
          <w:tcPr>
            <w:tcW w:w="2026" w:type="dxa"/>
            <w:vAlign w:val="center"/>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1</w:t>
            </w:r>
          </w:p>
        </w:tc>
        <w:tc>
          <w:tcPr>
            <w:tcW w:w="1322" w:type="dxa"/>
          </w:tcPr>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1</w:t>
            </w:r>
          </w:p>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2</w:t>
            </w:r>
          </w:p>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w:t>
            </w:r>
          </w:p>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n</w:t>
            </w:r>
            <w:r w:rsidRPr="00A0444D">
              <w:rPr>
                <w:rFonts w:ascii="Times New Roman" w:hAnsi="Times New Roman"/>
                <w:snapToGrid w:val="0"/>
                <w:sz w:val="20"/>
                <w:szCs w:val="20"/>
                <w:vertAlign w:val="subscript"/>
                <w:lang w:val="en-GB"/>
              </w:rPr>
              <w:t>1</w:t>
            </w:r>
          </w:p>
        </w:tc>
        <w:tc>
          <w:tcPr>
            <w:tcW w:w="180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y</w:t>
            </w:r>
            <w:r w:rsidRPr="00A0444D">
              <w:rPr>
                <w:rFonts w:ascii="Times New Roman" w:hAnsi="Times New Roman"/>
                <w:snapToGrid w:val="0"/>
                <w:sz w:val="20"/>
                <w:szCs w:val="20"/>
                <w:vertAlign w:val="superscript"/>
                <w:lang w:val="en-GB"/>
              </w:rPr>
              <w:t>d</w:t>
            </w:r>
            <w:r w:rsidRPr="00A0444D">
              <w:rPr>
                <w:rFonts w:ascii="Times New Roman" w:hAnsi="Times New Roman"/>
                <w:snapToGrid w:val="0"/>
                <w:sz w:val="20"/>
                <w:szCs w:val="20"/>
                <w:vertAlign w:val="subscript"/>
                <w:lang w:val="en-GB"/>
              </w:rPr>
              <w:t xml:space="preserve">11 </w:t>
            </w:r>
            <w:r w:rsidRPr="00A0444D">
              <w:rPr>
                <w:rFonts w:ascii="Times New Roman" w:hAnsi="Times New Roman"/>
                <w:snapToGrid w:val="0"/>
                <w:sz w:val="20"/>
                <w:szCs w:val="20"/>
                <w:lang w:val="en-GB"/>
              </w:rPr>
              <w:t xml:space="preserve"> </w:t>
            </w:r>
          </w:p>
          <w:p w:rsidR="00C273A1" w:rsidRPr="00A0444D" w:rsidRDefault="00C273A1" w:rsidP="000D094B">
            <w:pPr>
              <w:ind w:right="113"/>
              <w:jc w:val="both"/>
              <w:rPr>
                <w:rFonts w:ascii="Times New Roman" w:hAnsi="Times New Roman"/>
                <w:snapToGrid w:val="0"/>
                <w:sz w:val="20"/>
                <w:szCs w:val="20"/>
                <w:vertAlign w:val="subscript"/>
                <w:lang w:val="en-GB"/>
              </w:rPr>
            </w:pPr>
            <w:r w:rsidRPr="00A0444D">
              <w:rPr>
                <w:rFonts w:ascii="Times New Roman" w:hAnsi="Times New Roman"/>
                <w:snapToGrid w:val="0"/>
                <w:sz w:val="20"/>
                <w:szCs w:val="20"/>
                <w:lang w:val="en-GB"/>
              </w:rPr>
              <w:t xml:space="preserve">    y</w:t>
            </w:r>
            <w:r w:rsidRPr="00A0444D">
              <w:rPr>
                <w:rFonts w:ascii="Times New Roman" w:hAnsi="Times New Roman"/>
                <w:snapToGrid w:val="0"/>
                <w:sz w:val="20"/>
                <w:szCs w:val="20"/>
                <w:vertAlign w:val="superscript"/>
                <w:lang w:val="en-GB"/>
              </w:rPr>
              <w:t xml:space="preserve"> d</w:t>
            </w:r>
            <w:r w:rsidRPr="00A0444D">
              <w:rPr>
                <w:rFonts w:ascii="Times New Roman" w:hAnsi="Times New Roman"/>
                <w:snapToGrid w:val="0"/>
                <w:sz w:val="20"/>
                <w:szCs w:val="20"/>
                <w:vertAlign w:val="subscript"/>
                <w:lang w:val="en-GB"/>
              </w:rPr>
              <w:t>12</w:t>
            </w:r>
          </w:p>
          <w:p w:rsidR="00C273A1" w:rsidRPr="00A0444D" w:rsidRDefault="00C273A1" w:rsidP="000D094B">
            <w:pPr>
              <w:ind w:right="113"/>
              <w:jc w:val="both"/>
              <w:rPr>
                <w:rFonts w:ascii="Times New Roman" w:hAnsi="Times New Roman"/>
                <w:snapToGrid w:val="0"/>
                <w:sz w:val="20"/>
                <w:szCs w:val="20"/>
                <w:vertAlign w:val="subscript"/>
                <w:lang w:val="en-GB"/>
              </w:rPr>
            </w:pPr>
            <w:r w:rsidRPr="00A0444D">
              <w:rPr>
                <w:rFonts w:ascii="Times New Roman" w:hAnsi="Times New Roman"/>
                <w:snapToGrid w:val="0"/>
                <w:sz w:val="20"/>
                <w:szCs w:val="20"/>
                <w:vertAlign w:val="subscript"/>
                <w:lang w:val="en-GB"/>
              </w:rPr>
              <w:t xml:space="preserve">         ……</w:t>
            </w:r>
          </w:p>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y</w:t>
            </w:r>
            <w:r w:rsidRPr="00A0444D">
              <w:rPr>
                <w:rFonts w:ascii="Times New Roman" w:hAnsi="Times New Roman"/>
                <w:snapToGrid w:val="0"/>
                <w:sz w:val="20"/>
                <w:szCs w:val="20"/>
                <w:vertAlign w:val="superscript"/>
                <w:lang w:val="en-GB"/>
              </w:rPr>
              <w:t xml:space="preserve"> d</w:t>
            </w:r>
            <w:r w:rsidRPr="00A0444D">
              <w:rPr>
                <w:rFonts w:ascii="Times New Roman" w:hAnsi="Times New Roman"/>
                <w:snapToGrid w:val="0"/>
                <w:sz w:val="20"/>
                <w:szCs w:val="20"/>
                <w:vertAlign w:val="subscript"/>
                <w:lang w:val="en-GB"/>
              </w:rPr>
              <w:t>1n1</w:t>
            </w:r>
          </w:p>
        </w:tc>
        <w:tc>
          <w:tcPr>
            <w:tcW w:w="198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vertAlign w:val="superscript"/>
                <w:lang w:val="en-GB"/>
              </w:rPr>
              <w:t xml:space="preserve">     </w:t>
            </w:r>
            <w:r w:rsidRPr="00A0444D">
              <w:rPr>
                <w:rFonts w:ascii="Times New Roman" w:hAnsi="Times New Roman"/>
                <w:snapToGrid w:val="0"/>
                <w:sz w:val="20"/>
                <w:szCs w:val="20"/>
                <w:lang w:val="en-GB"/>
              </w:rPr>
              <w:t>y</w:t>
            </w:r>
            <w:r w:rsidRPr="00A0444D">
              <w:rPr>
                <w:rFonts w:ascii="Times New Roman" w:hAnsi="Times New Roman"/>
                <w:snapToGrid w:val="0"/>
                <w:sz w:val="20"/>
                <w:szCs w:val="20"/>
                <w:vertAlign w:val="superscript"/>
                <w:lang w:val="en-GB"/>
              </w:rPr>
              <w:t>i</w:t>
            </w:r>
            <w:r w:rsidRPr="00A0444D">
              <w:rPr>
                <w:rFonts w:ascii="Times New Roman" w:hAnsi="Times New Roman"/>
                <w:snapToGrid w:val="0"/>
                <w:sz w:val="20"/>
                <w:szCs w:val="20"/>
                <w:vertAlign w:val="subscript"/>
                <w:lang w:val="en-GB"/>
              </w:rPr>
              <w:t xml:space="preserve">11 </w:t>
            </w:r>
            <w:r w:rsidRPr="00A0444D">
              <w:rPr>
                <w:rFonts w:ascii="Times New Roman" w:hAnsi="Times New Roman"/>
                <w:snapToGrid w:val="0"/>
                <w:sz w:val="20"/>
                <w:szCs w:val="20"/>
                <w:lang w:val="en-GB"/>
              </w:rPr>
              <w:t xml:space="preserve"> </w:t>
            </w:r>
          </w:p>
          <w:p w:rsidR="00C273A1" w:rsidRPr="00A0444D" w:rsidRDefault="00C273A1" w:rsidP="000D094B">
            <w:pPr>
              <w:ind w:right="113"/>
              <w:jc w:val="both"/>
              <w:rPr>
                <w:rFonts w:ascii="Times New Roman" w:hAnsi="Times New Roman"/>
                <w:snapToGrid w:val="0"/>
                <w:sz w:val="20"/>
                <w:szCs w:val="20"/>
                <w:vertAlign w:val="subscript"/>
                <w:lang w:val="en-GB"/>
              </w:rPr>
            </w:pPr>
            <w:r w:rsidRPr="00A0444D">
              <w:rPr>
                <w:rFonts w:ascii="Times New Roman" w:hAnsi="Times New Roman"/>
                <w:snapToGrid w:val="0"/>
                <w:sz w:val="20"/>
                <w:szCs w:val="20"/>
                <w:lang w:val="en-GB"/>
              </w:rPr>
              <w:t xml:space="preserve">    y</w:t>
            </w:r>
            <w:r w:rsidRPr="00A0444D">
              <w:rPr>
                <w:rFonts w:ascii="Times New Roman" w:hAnsi="Times New Roman"/>
                <w:snapToGrid w:val="0"/>
                <w:sz w:val="20"/>
                <w:szCs w:val="20"/>
                <w:vertAlign w:val="superscript"/>
                <w:lang w:val="en-GB"/>
              </w:rPr>
              <w:t xml:space="preserve"> i</w:t>
            </w:r>
            <w:r w:rsidRPr="00A0444D">
              <w:rPr>
                <w:rFonts w:ascii="Times New Roman" w:hAnsi="Times New Roman"/>
                <w:snapToGrid w:val="0"/>
                <w:sz w:val="20"/>
                <w:szCs w:val="20"/>
                <w:vertAlign w:val="subscript"/>
                <w:lang w:val="en-GB"/>
              </w:rPr>
              <w:t>12</w:t>
            </w:r>
          </w:p>
          <w:p w:rsidR="00C273A1" w:rsidRPr="00A0444D" w:rsidRDefault="00C273A1" w:rsidP="000D094B">
            <w:pPr>
              <w:ind w:right="113"/>
              <w:jc w:val="both"/>
              <w:rPr>
                <w:rFonts w:ascii="Times New Roman" w:hAnsi="Times New Roman"/>
                <w:snapToGrid w:val="0"/>
                <w:sz w:val="20"/>
                <w:szCs w:val="20"/>
                <w:vertAlign w:val="subscript"/>
                <w:lang w:val="en-GB"/>
              </w:rPr>
            </w:pPr>
            <w:r w:rsidRPr="00A0444D">
              <w:rPr>
                <w:rFonts w:ascii="Times New Roman" w:hAnsi="Times New Roman"/>
                <w:snapToGrid w:val="0"/>
                <w:sz w:val="20"/>
                <w:szCs w:val="20"/>
                <w:vertAlign w:val="subscript"/>
                <w:lang w:val="en-GB"/>
              </w:rPr>
              <w:t xml:space="preserve">         ……</w:t>
            </w:r>
          </w:p>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y</w:t>
            </w:r>
            <w:r w:rsidRPr="00A0444D">
              <w:rPr>
                <w:rFonts w:ascii="Times New Roman" w:hAnsi="Times New Roman"/>
                <w:snapToGrid w:val="0"/>
                <w:sz w:val="20"/>
                <w:szCs w:val="20"/>
                <w:vertAlign w:val="superscript"/>
                <w:lang w:val="en-GB"/>
              </w:rPr>
              <w:t xml:space="preserve"> i</w:t>
            </w:r>
            <w:r w:rsidRPr="00A0444D">
              <w:rPr>
                <w:rFonts w:ascii="Times New Roman" w:hAnsi="Times New Roman"/>
                <w:snapToGrid w:val="0"/>
                <w:sz w:val="20"/>
                <w:szCs w:val="20"/>
                <w:vertAlign w:val="subscript"/>
                <w:lang w:val="en-GB"/>
              </w:rPr>
              <w:t>1n1</w:t>
            </w:r>
          </w:p>
        </w:tc>
        <w:tc>
          <w:tcPr>
            <w:tcW w:w="162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k</w:t>
            </w:r>
            <w:r w:rsidRPr="00A0444D">
              <w:rPr>
                <w:rFonts w:ascii="Times New Roman" w:hAnsi="Times New Roman"/>
                <w:snapToGrid w:val="0"/>
                <w:sz w:val="20"/>
                <w:szCs w:val="20"/>
                <w:vertAlign w:val="subscript"/>
                <w:lang w:val="en-GB"/>
              </w:rPr>
              <w:t xml:space="preserve">11 </w:t>
            </w:r>
            <w:r w:rsidRPr="00A0444D">
              <w:rPr>
                <w:rFonts w:ascii="Times New Roman" w:hAnsi="Times New Roman"/>
                <w:snapToGrid w:val="0"/>
                <w:sz w:val="20"/>
                <w:szCs w:val="20"/>
                <w:lang w:val="en-GB"/>
              </w:rPr>
              <w:t xml:space="preserve"> </w:t>
            </w:r>
          </w:p>
          <w:p w:rsidR="00C273A1" w:rsidRPr="00A0444D" w:rsidRDefault="00C273A1" w:rsidP="000D094B">
            <w:pPr>
              <w:ind w:right="113"/>
              <w:jc w:val="both"/>
              <w:rPr>
                <w:rFonts w:ascii="Times New Roman" w:hAnsi="Times New Roman"/>
                <w:snapToGrid w:val="0"/>
                <w:sz w:val="20"/>
                <w:szCs w:val="20"/>
                <w:vertAlign w:val="subscript"/>
                <w:lang w:val="en-GB"/>
              </w:rPr>
            </w:pPr>
            <w:r w:rsidRPr="00A0444D">
              <w:rPr>
                <w:rFonts w:ascii="Times New Roman" w:hAnsi="Times New Roman"/>
                <w:snapToGrid w:val="0"/>
                <w:sz w:val="20"/>
                <w:szCs w:val="20"/>
                <w:lang w:val="en-GB"/>
              </w:rPr>
              <w:t xml:space="preserve">     k</w:t>
            </w:r>
            <w:r w:rsidRPr="00A0444D">
              <w:rPr>
                <w:rFonts w:ascii="Times New Roman" w:hAnsi="Times New Roman"/>
                <w:snapToGrid w:val="0"/>
                <w:sz w:val="20"/>
                <w:szCs w:val="20"/>
                <w:vertAlign w:val="subscript"/>
                <w:lang w:val="en-GB"/>
              </w:rPr>
              <w:t>12</w:t>
            </w:r>
          </w:p>
          <w:p w:rsidR="00C273A1" w:rsidRPr="00A0444D" w:rsidRDefault="00C273A1" w:rsidP="000D094B">
            <w:pPr>
              <w:ind w:right="113"/>
              <w:jc w:val="both"/>
              <w:rPr>
                <w:rFonts w:ascii="Times New Roman" w:hAnsi="Times New Roman"/>
                <w:snapToGrid w:val="0"/>
                <w:sz w:val="20"/>
                <w:szCs w:val="20"/>
                <w:vertAlign w:val="subscript"/>
                <w:lang w:val="en-GB"/>
              </w:rPr>
            </w:pPr>
            <w:r w:rsidRPr="00A0444D">
              <w:rPr>
                <w:rFonts w:ascii="Times New Roman" w:hAnsi="Times New Roman"/>
                <w:snapToGrid w:val="0"/>
                <w:sz w:val="20"/>
                <w:szCs w:val="20"/>
                <w:vertAlign w:val="subscript"/>
                <w:lang w:val="en-GB"/>
              </w:rPr>
              <w:t xml:space="preserve">         ……</w:t>
            </w:r>
          </w:p>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k</w:t>
            </w:r>
            <w:r w:rsidRPr="00A0444D">
              <w:rPr>
                <w:rFonts w:ascii="Times New Roman" w:hAnsi="Times New Roman"/>
                <w:snapToGrid w:val="0"/>
                <w:sz w:val="20"/>
                <w:szCs w:val="20"/>
                <w:vertAlign w:val="subscript"/>
                <w:lang w:val="en-GB"/>
              </w:rPr>
              <w:t>1n1</w:t>
            </w:r>
          </w:p>
        </w:tc>
      </w:tr>
      <w:tr w:rsidR="00C273A1" w:rsidRPr="00A0444D" w:rsidTr="000D094B">
        <w:tc>
          <w:tcPr>
            <w:tcW w:w="2026" w:type="dxa"/>
            <w:vAlign w:val="center"/>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2</w:t>
            </w:r>
          </w:p>
        </w:tc>
        <w:tc>
          <w:tcPr>
            <w:tcW w:w="1322" w:type="dxa"/>
          </w:tcPr>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1</w:t>
            </w:r>
          </w:p>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2</w:t>
            </w:r>
          </w:p>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w:t>
            </w:r>
          </w:p>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n</w:t>
            </w:r>
            <w:r w:rsidRPr="00A0444D">
              <w:rPr>
                <w:rFonts w:ascii="Times New Roman" w:hAnsi="Times New Roman"/>
                <w:snapToGrid w:val="0"/>
                <w:sz w:val="20"/>
                <w:szCs w:val="20"/>
                <w:vertAlign w:val="subscript"/>
                <w:lang w:val="en-GB"/>
              </w:rPr>
              <w:t>2</w:t>
            </w:r>
          </w:p>
        </w:tc>
        <w:tc>
          <w:tcPr>
            <w:tcW w:w="180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y</w:t>
            </w:r>
            <w:r w:rsidRPr="00A0444D">
              <w:rPr>
                <w:rFonts w:ascii="Times New Roman" w:hAnsi="Times New Roman"/>
                <w:snapToGrid w:val="0"/>
                <w:sz w:val="20"/>
                <w:szCs w:val="20"/>
                <w:vertAlign w:val="superscript"/>
                <w:lang w:val="en-GB"/>
              </w:rPr>
              <w:t>d</w:t>
            </w:r>
            <w:r w:rsidRPr="00A0444D">
              <w:rPr>
                <w:rFonts w:ascii="Times New Roman" w:hAnsi="Times New Roman"/>
                <w:snapToGrid w:val="0"/>
                <w:sz w:val="20"/>
                <w:szCs w:val="20"/>
                <w:vertAlign w:val="subscript"/>
                <w:lang w:val="en-GB"/>
              </w:rPr>
              <w:t xml:space="preserve">21 </w:t>
            </w:r>
            <w:r w:rsidRPr="00A0444D">
              <w:rPr>
                <w:rFonts w:ascii="Times New Roman" w:hAnsi="Times New Roman"/>
                <w:snapToGrid w:val="0"/>
                <w:sz w:val="20"/>
                <w:szCs w:val="20"/>
                <w:lang w:val="en-GB"/>
              </w:rPr>
              <w:t xml:space="preserve"> </w:t>
            </w:r>
          </w:p>
          <w:p w:rsidR="00C273A1" w:rsidRPr="00A0444D" w:rsidRDefault="00C273A1" w:rsidP="000D094B">
            <w:pPr>
              <w:ind w:right="113"/>
              <w:jc w:val="both"/>
              <w:rPr>
                <w:rFonts w:ascii="Times New Roman" w:hAnsi="Times New Roman"/>
                <w:snapToGrid w:val="0"/>
                <w:sz w:val="20"/>
                <w:szCs w:val="20"/>
                <w:vertAlign w:val="subscript"/>
                <w:lang w:val="en-GB"/>
              </w:rPr>
            </w:pPr>
            <w:r w:rsidRPr="00A0444D">
              <w:rPr>
                <w:rFonts w:ascii="Times New Roman" w:hAnsi="Times New Roman"/>
                <w:snapToGrid w:val="0"/>
                <w:sz w:val="20"/>
                <w:szCs w:val="20"/>
                <w:lang w:val="en-GB"/>
              </w:rPr>
              <w:t xml:space="preserve">    y</w:t>
            </w:r>
            <w:r w:rsidRPr="00A0444D">
              <w:rPr>
                <w:rFonts w:ascii="Times New Roman" w:hAnsi="Times New Roman"/>
                <w:snapToGrid w:val="0"/>
                <w:sz w:val="20"/>
                <w:szCs w:val="20"/>
                <w:vertAlign w:val="superscript"/>
                <w:lang w:val="en-GB"/>
              </w:rPr>
              <w:t xml:space="preserve"> d</w:t>
            </w:r>
            <w:r w:rsidRPr="00A0444D">
              <w:rPr>
                <w:rFonts w:ascii="Times New Roman" w:hAnsi="Times New Roman"/>
                <w:snapToGrid w:val="0"/>
                <w:sz w:val="20"/>
                <w:szCs w:val="20"/>
                <w:vertAlign w:val="subscript"/>
                <w:lang w:val="en-GB"/>
              </w:rPr>
              <w:t>22</w:t>
            </w:r>
          </w:p>
          <w:p w:rsidR="00C273A1" w:rsidRPr="00A0444D" w:rsidRDefault="00C273A1" w:rsidP="000D094B">
            <w:pPr>
              <w:ind w:right="113"/>
              <w:jc w:val="both"/>
              <w:rPr>
                <w:rFonts w:ascii="Times New Roman" w:hAnsi="Times New Roman"/>
                <w:snapToGrid w:val="0"/>
                <w:sz w:val="20"/>
                <w:szCs w:val="20"/>
                <w:vertAlign w:val="subscript"/>
                <w:lang w:val="en-GB"/>
              </w:rPr>
            </w:pPr>
            <w:r w:rsidRPr="00A0444D">
              <w:rPr>
                <w:rFonts w:ascii="Times New Roman" w:hAnsi="Times New Roman"/>
                <w:snapToGrid w:val="0"/>
                <w:sz w:val="20"/>
                <w:szCs w:val="20"/>
                <w:vertAlign w:val="subscript"/>
                <w:lang w:val="en-GB"/>
              </w:rPr>
              <w:t xml:space="preserve">         ……</w:t>
            </w:r>
          </w:p>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y</w:t>
            </w:r>
            <w:r w:rsidRPr="00A0444D">
              <w:rPr>
                <w:rFonts w:ascii="Times New Roman" w:hAnsi="Times New Roman"/>
                <w:snapToGrid w:val="0"/>
                <w:sz w:val="20"/>
                <w:szCs w:val="20"/>
                <w:vertAlign w:val="superscript"/>
                <w:lang w:val="en-GB"/>
              </w:rPr>
              <w:t xml:space="preserve"> d</w:t>
            </w:r>
            <w:r w:rsidRPr="00A0444D">
              <w:rPr>
                <w:rFonts w:ascii="Times New Roman" w:hAnsi="Times New Roman"/>
                <w:snapToGrid w:val="0"/>
                <w:sz w:val="20"/>
                <w:szCs w:val="20"/>
                <w:vertAlign w:val="subscript"/>
                <w:lang w:val="en-GB"/>
              </w:rPr>
              <w:t>2n2</w:t>
            </w:r>
          </w:p>
        </w:tc>
        <w:tc>
          <w:tcPr>
            <w:tcW w:w="198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vertAlign w:val="superscript"/>
                <w:lang w:val="en-GB"/>
              </w:rPr>
              <w:t xml:space="preserve">     </w:t>
            </w:r>
            <w:r w:rsidRPr="00A0444D">
              <w:rPr>
                <w:rFonts w:ascii="Times New Roman" w:hAnsi="Times New Roman"/>
                <w:snapToGrid w:val="0"/>
                <w:sz w:val="20"/>
                <w:szCs w:val="20"/>
                <w:lang w:val="en-GB"/>
              </w:rPr>
              <w:t>y</w:t>
            </w:r>
            <w:r w:rsidRPr="00A0444D">
              <w:rPr>
                <w:rFonts w:ascii="Times New Roman" w:hAnsi="Times New Roman"/>
                <w:snapToGrid w:val="0"/>
                <w:sz w:val="20"/>
                <w:szCs w:val="20"/>
                <w:vertAlign w:val="superscript"/>
                <w:lang w:val="en-GB"/>
              </w:rPr>
              <w:t>i</w:t>
            </w:r>
            <w:r w:rsidRPr="00A0444D">
              <w:rPr>
                <w:rFonts w:ascii="Times New Roman" w:hAnsi="Times New Roman"/>
                <w:snapToGrid w:val="0"/>
                <w:sz w:val="20"/>
                <w:szCs w:val="20"/>
                <w:vertAlign w:val="subscript"/>
                <w:lang w:val="en-GB"/>
              </w:rPr>
              <w:t xml:space="preserve">21 </w:t>
            </w:r>
            <w:r w:rsidRPr="00A0444D">
              <w:rPr>
                <w:rFonts w:ascii="Times New Roman" w:hAnsi="Times New Roman"/>
                <w:snapToGrid w:val="0"/>
                <w:sz w:val="20"/>
                <w:szCs w:val="20"/>
                <w:lang w:val="en-GB"/>
              </w:rPr>
              <w:t xml:space="preserve"> </w:t>
            </w:r>
          </w:p>
          <w:p w:rsidR="00C273A1" w:rsidRPr="00A0444D" w:rsidRDefault="00C273A1" w:rsidP="000D094B">
            <w:pPr>
              <w:ind w:right="113"/>
              <w:jc w:val="both"/>
              <w:rPr>
                <w:rFonts w:ascii="Times New Roman" w:hAnsi="Times New Roman"/>
                <w:snapToGrid w:val="0"/>
                <w:sz w:val="20"/>
                <w:szCs w:val="20"/>
                <w:vertAlign w:val="subscript"/>
                <w:lang w:val="en-GB"/>
              </w:rPr>
            </w:pPr>
            <w:r w:rsidRPr="00A0444D">
              <w:rPr>
                <w:rFonts w:ascii="Times New Roman" w:hAnsi="Times New Roman"/>
                <w:snapToGrid w:val="0"/>
                <w:sz w:val="20"/>
                <w:szCs w:val="20"/>
                <w:lang w:val="en-GB"/>
              </w:rPr>
              <w:t xml:space="preserve">    y</w:t>
            </w:r>
            <w:r w:rsidRPr="00A0444D">
              <w:rPr>
                <w:rFonts w:ascii="Times New Roman" w:hAnsi="Times New Roman"/>
                <w:snapToGrid w:val="0"/>
                <w:sz w:val="20"/>
                <w:szCs w:val="20"/>
                <w:vertAlign w:val="superscript"/>
                <w:lang w:val="en-GB"/>
              </w:rPr>
              <w:t xml:space="preserve"> i</w:t>
            </w:r>
            <w:r w:rsidRPr="00A0444D">
              <w:rPr>
                <w:rFonts w:ascii="Times New Roman" w:hAnsi="Times New Roman"/>
                <w:snapToGrid w:val="0"/>
                <w:sz w:val="20"/>
                <w:szCs w:val="20"/>
                <w:vertAlign w:val="subscript"/>
                <w:lang w:val="en-GB"/>
              </w:rPr>
              <w:t>22</w:t>
            </w:r>
          </w:p>
          <w:p w:rsidR="00C273A1" w:rsidRPr="00A0444D" w:rsidRDefault="00C273A1" w:rsidP="000D094B">
            <w:pPr>
              <w:ind w:right="113"/>
              <w:jc w:val="both"/>
              <w:rPr>
                <w:rFonts w:ascii="Times New Roman" w:hAnsi="Times New Roman"/>
                <w:snapToGrid w:val="0"/>
                <w:sz w:val="20"/>
                <w:szCs w:val="20"/>
                <w:vertAlign w:val="subscript"/>
                <w:lang w:val="en-GB"/>
              </w:rPr>
            </w:pPr>
            <w:r w:rsidRPr="00A0444D">
              <w:rPr>
                <w:rFonts w:ascii="Times New Roman" w:hAnsi="Times New Roman"/>
                <w:snapToGrid w:val="0"/>
                <w:sz w:val="20"/>
                <w:szCs w:val="20"/>
                <w:vertAlign w:val="subscript"/>
                <w:lang w:val="en-GB"/>
              </w:rPr>
              <w:t xml:space="preserve">         ……</w:t>
            </w:r>
          </w:p>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y</w:t>
            </w:r>
            <w:r w:rsidRPr="00A0444D">
              <w:rPr>
                <w:rFonts w:ascii="Times New Roman" w:hAnsi="Times New Roman"/>
                <w:snapToGrid w:val="0"/>
                <w:sz w:val="20"/>
                <w:szCs w:val="20"/>
                <w:vertAlign w:val="superscript"/>
                <w:lang w:val="en-GB"/>
              </w:rPr>
              <w:t xml:space="preserve"> i</w:t>
            </w:r>
            <w:r w:rsidRPr="00A0444D">
              <w:rPr>
                <w:rFonts w:ascii="Times New Roman" w:hAnsi="Times New Roman"/>
                <w:snapToGrid w:val="0"/>
                <w:sz w:val="20"/>
                <w:szCs w:val="20"/>
                <w:vertAlign w:val="subscript"/>
                <w:lang w:val="en-GB"/>
              </w:rPr>
              <w:t>2n2</w:t>
            </w:r>
          </w:p>
        </w:tc>
        <w:tc>
          <w:tcPr>
            <w:tcW w:w="162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k</w:t>
            </w:r>
            <w:r w:rsidRPr="00A0444D">
              <w:rPr>
                <w:rFonts w:ascii="Times New Roman" w:hAnsi="Times New Roman"/>
                <w:snapToGrid w:val="0"/>
                <w:sz w:val="20"/>
                <w:szCs w:val="20"/>
                <w:vertAlign w:val="subscript"/>
                <w:lang w:val="en-GB"/>
              </w:rPr>
              <w:t xml:space="preserve">21 </w:t>
            </w:r>
            <w:r w:rsidRPr="00A0444D">
              <w:rPr>
                <w:rFonts w:ascii="Times New Roman" w:hAnsi="Times New Roman"/>
                <w:snapToGrid w:val="0"/>
                <w:sz w:val="20"/>
                <w:szCs w:val="20"/>
                <w:lang w:val="en-GB"/>
              </w:rPr>
              <w:t xml:space="preserve"> </w:t>
            </w:r>
          </w:p>
          <w:p w:rsidR="00C273A1" w:rsidRPr="00A0444D" w:rsidRDefault="00C273A1" w:rsidP="000D094B">
            <w:pPr>
              <w:ind w:right="113"/>
              <w:jc w:val="both"/>
              <w:rPr>
                <w:rFonts w:ascii="Times New Roman" w:hAnsi="Times New Roman"/>
                <w:snapToGrid w:val="0"/>
                <w:sz w:val="20"/>
                <w:szCs w:val="20"/>
                <w:vertAlign w:val="subscript"/>
                <w:lang w:val="en-GB"/>
              </w:rPr>
            </w:pPr>
            <w:r w:rsidRPr="00A0444D">
              <w:rPr>
                <w:rFonts w:ascii="Times New Roman" w:hAnsi="Times New Roman"/>
                <w:snapToGrid w:val="0"/>
                <w:sz w:val="20"/>
                <w:szCs w:val="20"/>
                <w:lang w:val="en-GB"/>
              </w:rPr>
              <w:t xml:space="preserve">     k</w:t>
            </w:r>
            <w:r w:rsidRPr="00A0444D">
              <w:rPr>
                <w:rFonts w:ascii="Times New Roman" w:hAnsi="Times New Roman"/>
                <w:snapToGrid w:val="0"/>
                <w:sz w:val="20"/>
                <w:szCs w:val="20"/>
                <w:vertAlign w:val="subscript"/>
                <w:lang w:val="en-GB"/>
              </w:rPr>
              <w:t>22</w:t>
            </w:r>
          </w:p>
          <w:p w:rsidR="00C273A1" w:rsidRPr="00A0444D" w:rsidRDefault="00C273A1" w:rsidP="000D094B">
            <w:pPr>
              <w:ind w:right="113"/>
              <w:jc w:val="both"/>
              <w:rPr>
                <w:rFonts w:ascii="Times New Roman" w:hAnsi="Times New Roman"/>
                <w:snapToGrid w:val="0"/>
                <w:sz w:val="20"/>
                <w:szCs w:val="20"/>
                <w:vertAlign w:val="subscript"/>
                <w:lang w:val="en-GB"/>
              </w:rPr>
            </w:pPr>
            <w:r w:rsidRPr="00A0444D">
              <w:rPr>
                <w:rFonts w:ascii="Times New Roman" w:hAnsi="Times New Roman"/>
                <w:snapToGrid w:val="0"/>
                <w:sz w:val="20"/>
                <w:szCs w:val="20"/>
                <w:vertAlign w:val="subscript"/>
                <w:lang w:val="en-GB"/>
              </w:rPr>
              <w:t xml:space="preserve">         ……</w:t>
            </w:r>
          </w:p>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k</w:t>
            </w:r>
            <w:r w:rsidRPr="00A0444D">
              <w:rPr>
                <w:rFonts w:ascii="Times New Roman" w:hAnsi="Times New Roman"/>
                <w:snapToGrid w:val="0"/>
                <w:sz w:val="20"/>
                <w:szCs w:val="20"/>
                <w:vertAlign w:val="subscript"/>
                <w:lang w:val="en-GB"/>
              </w:rPr>
              <w:t>2n2</w:t>
            </w:r>
          </w:p>
        </w:tc>
      </w:tr>
      <w:tr w:rsidR="00C273A1" w:rsidRPr="00A0444D" w:rsidTr="000D094B">
        <w:tc>
          <w:tcPr>
            <w:tcW w:w="2026"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c>
          <w:tcPr>
            <w:tcW w:w="1322" w:type="dxa"/>
          </w:tcPr>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c>
          <w:tcPr>
            <w:tcW w:w="180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w:t>
            </w:r>
          </w:p>
        </w:tc>
        <w:tc>
          <w:tcPr>
            <w:tcW w:w="198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w:t>
            </w:r>
          </w:p>
        </w:tc>
        <w:tc>
          <w:tcPr>
            <w:tcW w:w="162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w:t>
            </w:r>
          </w:p>
        </w:tc>
      </w:tr>
      <w:tr w:rsidR="00C273A1" w:rsidRPr="00A0444D" w:rsidTr="000D094B">
        <w:tc>
          <w:tcPr>
            <w:tcW w:w="2026" w:type="dxa"/>
            <w:vAlign w:val="center"/>
          </w:tcPr>
          <w:p w:rsidR="00C273A1" w:rsidRPr="00A0444D" w:rsidRDefault="00C273A1" w:rsidP="000D094B">
            <w:pPr>
              <w:ind w:right="113"/>
              <w:jc w:val="both"/>
              <w:rPr>
                <w:rFonts w:ascii="Times New Roman" w:hAnsi="Times New Roman"/>
                <w:i/>
                <w:snapToGrid w:val="0"/>
                <w:sz w:val="20"/>
                <w:szCs w:val="20"/>
                <w:lang w:val="en-GB"/>
              </w:rPr>
            </w:pPr>
            <w:r w:rsidRPr="00A0444D">
              <w:rPr>
                <w:rFonts w:ascii="Times New Roman" w:hAnsi="Times New Roman"/>
                <w:i/>
                <w:snapToGrid w:val="0"/>
                <w:sz w:val="20"/>
                <w:szCs w:val="20"/>
                <w:lang w:val="en-GB"/>
              </w:rPr>
              <w:t>H</w:t>
            </w:r>
          </w:p>
        </w:tc>
        <w:tc>
          <w:tcPr>
            <w:tcW w:w="1322" w:type="dxa"/>
          </w:tcPr>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1</w:t>
            </w:r>
          </w:p>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2</w:t>
            </w:r>
          </w:p>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w:t>
            </w:r>
          </w:p>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n</w:t>
            </w:r>
            <w:r w:rsidRPr="00A0444D">
              <w:rPr>
                <w:rFonts w:ascii="Times New Roman" w:hAnsi="Times New Roman"/>
                <w:i/>
                <w:snapToGrid w:val="0"/>
                <w:sz w:val="20"/>
                <w:szCs w:val="20"/>
                <w:vertAlign w:val="subscript"/>
                <w:lang w:val="en-GB"/>
              </w:rPr>
              <w:t>H</w:t>
            </w:r>
          </w:p>
        </w:tc>
        <w:tc>
          <w:tcPr>
            <w:tcW w:w="1800" w:type="dxa"/>
          </w:tcPr>
          <w:p w:rsidR="00C273A1" w:rsidRPr="00A0444D" w:rsidRDefault="00C273A1" w:rsidP="000D094B">
            <w:pPr>
              <w:ind w:right="113"/>
              <w:jc w:val="both"/>
              <w:rPr>
                <w:rFonts w:ascii="Times New Roman" w:hAnsi="Times New Roman"/>
                <w:snapToGrid w:val="0"/>
                <w:sz w:val="20"/>
                <w:szCs w:val="20"/>
                <w:lang w:val="es-ES_tradnl"/>
              </w:rPr>
            </w:pPr>
            <w:r w:rsidRPr="00A0444D">
              <w:rPr>
                <w:rFonts w:ascii="Times New Roman" w:hAnsi="Times New Roman"/>
                <w:snapToGrid w:val="0"/>
                <w:sz w:val="20"/>
                <w:szCs w:val="20"/>
                <w:lang w:val="es-ES_tradnl"/>
              </w:rPr>
              <w:t xml:space="preserve">    y</w:t>
            </w:r>
            <w:r w:rsidRPr="00A0444D">
              <w:rPr>
                <w:rFonts w:ascii="Times New Roman" w:hAnsi="Times New Roman"/>
                <w:snapToGrid w:val="0"/>
                <w:sz w:val="20"/>
                <w:szCs w:val="20"/>
                <w:vertAlign w:val="superscript"/>
                <w:lang w:val="es-ES_tradnl"/>
              </w:rPr>
              <w:t>d</w:t>
            </w:r>
            <w:r w:rsidRPr="00A0444D">
              <w:rPr>
                <w:rFonts w:ascii="Times New Roman" w:hAnsi="Times New Roman"/>
                <w:i/>
                <w:snapToGrid w:val="0"/>
                <w:sz w:val="20"/>
                <w:szCs w:val="20"/>
                <w:vertAlign w:val="subscript"/>
                <w:lang w:val="es-ES_tradnl"/>
              </w:rPr>
              <w:t>H</w:t>
            </w:r>
            <w:r w:rsidRPr="00A0444D">
              <w:rPr>
                <w:rFonts w:ascii="Times New Roman" w:hAnsi="Times New Roman"/>
                <w:snapToGrid w:val="0"/>
                <w:sz w:val="20"/>
                <w:szCs w:val="20"/>
                <w:vertAlign w:val="subscript"/>
                <w:lang w:val="es-ES_tradnl"/>
              </w:rPr>
              <w:t xml:space="preserve">1 </w:t>
            </w:r>
            <w:r w:rsidRPr="00A0444D">
              <w:rPr>
                <w:rFonts w:ascii="Times New Roman" w:hAnsi="Times New Roman"/>
                <w:snapToGrid w:val="0"/>
                <w:sz w:val="20"/>
                <w:szCs w:val="20"/>
                <w:lang w:val="es-ES_tradnl"/>
              </w:rPr>
              <w:t xml:space="preserve"> </w:t>
            </w:r>
          </w:p>
          <w:p w:rsidR="00C273A1" w:rsidRPr="00A0444D" w:rsidRDefault="00C273A1" w:rsidP="000D094B">
            <w:pPr>
              <w:ind w:right="113"/>
              <w:jc w:val="both"/>
              <w:rPr>
                <w:rFonts w:ascii="Times New Roman" w:hAnsi="Times New Roman"/>
                <w:snapToGrid w:val="0"/>
                <w:sz w:val="20"/>
                <w:szCs w:val="20"/>
                <w:vertAlign w:val="subscript"/>
                <w:lang w:val="es-ES_tradnl"/>
              </w:rPr>
            </w:pPr>
            <w:r w:rsidRPr="00A0444D">
              <w:rPr>
                <w:rFonts w:ascii="Times New Roman" w:hAnsi="Times New Roman"/>
                <w:snapToGrid w:val="0"/>
                <w:sz w:val="20"/>
                <w:szCs w:val="20"/>
                <w:lang w:val="es-ES_tradnl"/>
              </w:rPr>
              <w:t xml:space="preserve">    y</w:t>
            </w:r>
            <w:r w:rsidRPr="00A0444D">
              <w:rPr>
                <w:rFonts w:ascii="Times New Roman" w:hAnsi="Times New Roman"/>
                <w:snapToGrid w:val="0"/>
                <w:sz w:val="20"/>
                <w:szCs w:val="20"/>
                <w:vertAlign w:val="superscript"/>
                <w:lang w:val="es-ES_tradnl"/>
              </w:rPr>
              <w:t xml:space="preserve"> d</w:t>
            </w:r>
            <w:r w:rsidRPr="00A0444D">
              <w:rPr>
                <w:rFonts w:ascii="Times New Roman" w:hAnsi="Times New Roman"/>
                <w:i/>
                <w:snapToGrid w:val="0"/>
                <w:sz w:val="20"/>
                <w:szCs w:val="20"/>
                <w:vertAlign w:val="subscript"/>
                <w:lang w:val="es-ES_tradnl"/>
              </w:rPr>
              <w:t>H</w:t>
            </w:r>
            <w:r w:rsidRPr="00A0444D">
              <w:rPr>
                <w:rFonts w:ascii="Times New Roman" w:hAnsi="Times New Roman"/>
                <w:snapToGrid w:val="0"/>
                <w:sz w:val="20"/>
                <w:szCs w:val="20"/>
                <w:vertAlign w:val="subscript"/>
                <w:lang w:val="es-ES_tradnl"/>
              </w:rPr>
              <w:t>2</w:t>
            </w:r>
          </w:p>
          <w:p w:rsidR="00C273A1" w:rsidRPr="00A0444D" w:rsidRDefault="00C273A1" w:rsidP="000D094B">
            <w:pPr>
              <w:ind w:right="113"/>
              <w:jc w:val="both"/>
              <w:rPr>
                <w:rFonts w:ascii="Times New Roman" w:hAnsi="Times New Roman"/>
                <w:snapToGrid w:val="0"/>
                <w:sz w:val="20"/>
                <w:szCs w:val="20"/>
                <w:vertAlign w:val="subscript"/>
                <w:lang w:val="es-ES_tradnl"/>
              </w:rPr>
            </w:pPr>
            <w:r w:rsidRPr="00A0444D">
              <w:rPr>
                <w:rFonts w:ascii="Times New Roman" w:hAnsi="Times New Roman"/>
                <w:snapToGrid w:val="0"/>
                <w:sz w:val="20"/>
                <w:szCs w:val="20"/>
                <w:vertAlign w:val="subscript"/>
                <w:lang w:val="es-ES_tradnl"/>
              </w:rPr>
              <w:t xml:space="preserve">         ……</w:t>
            </w:r>
          </w:p>
          <w:p w:rsidR="00C273A1" w:rsidRPr="00A0444D" w:rsidRDefault="00C273A1" w:rsidP="000D094B">
            <w:pPr>
              <w:ind w:right="113"/>
              <w:jc w:val="both"/>
              <w:rPr>
                <w:rFonts w:ascii="Times New Roman" w:hAnsi="Times New Roman"/>
                <w:snapToGrid w:val="0"/>
                <w:sz w:val="20"/>
                <w:szCs w:val="20"/>
                <w:lang w:val="es-ES_tradnl"/>
              </w:rPr>
            </w:pPr>
            <w:r w:rsidRPr="00A0444D">
              <w:rPr>
                <w:rFonts w:ascii="Times New Roman" w:hAnsi="Times New Roman"/>
                <w:snapToGrid w:val="0"/>
                <w:sz w:val="20"/>
                <w:szCs w:val="20"/>
                <w:lang w:val="es-ES_tradnl"/>
              </w:rPr>
              <w:t xml:space="preserve">    y</w:t>
            </w:r>
            <w:r w:rsidRPr="00A0444D">
              <w:rPr>
                <w:rFonts w:ascii="Times New Roman" w:hAnsi="Times New Roman"/>
                <w:snapToGrid w:val="0"/>
                <w:sz w:val="20"/>
                <w:szCs w:val="20"/>
                <w:vertAlign w:val="superscript"/>
                <w:lang w:val="es-ES_tradnl"/>
              </w:rPr>
              <w:t xml:space="preserve"> d</w:t>
            </w:r>
            <w:r w:rsidRPr="00A0444D">
              <w:rPr>
                <w:rFonts w:ascii="Times New Roman" w:hAnsi="Times New Roman"/>
                <w:i/>
                <w:snapToGrid w:val="0"/>
                <w:sz w:val="20"/>
                <w:szCs w:val="20"/>
                <w:vertAlign w:val="subscript"/>
                <w:lang w:val="es-ES_tradnl"/>
              </w:rPr>
              <w:t>H</w:t>
            </w:r>
            <w:r w:rsidRPr="00A0444D">
              <w:rPr>
                <w:rFonts w:ascii="Times New Roman" w:hAnsi="Times New Roman"/>
                <w:snapToGrid w:val="0"/>
                <w:sz w:val="20"/>
                <w:szCs w:val="20"/>
                <w:vertAlign w:val="subscript"/>
                <w:lang w:val="es-ES_tradnl"/>
              </w:rPr>
              <w:t>n</w:t>
            </w:r>
            <w:r w:rsidRPr="00A0444D">
              <w:rPr>
                <w:rFonts w:ascii="Times New Roman" w:hAnsi="Times New Roman"/>
                <w:i/>
                <w:snapToGrid w:val="0"/>
                <w:sz w:val="20"/>
                <w:szCs w:val="20"/>
                <w:vertAlign w:val="subscript"/>
                <w:lang w:val="es-ES_tradnl"/>
              </w:rPr>
              <w:t>H</w:t>
            </w:r>
          </w:p>
        </w:tc>
        <w:tc>
          <w:tcPr>
            <w:tcW w:w="1980" w:type="dxa"/>
          </w:tcPr>
          <w:p w:rsidR="00C273A1" w:rsidRPr="00A0444D" w:rsidRDefault="00C273A1" w:rsidP="000D094B">
            <w:pPr>
              <w:ind w:right="113"/>
              <w:jc w:val="both"/>
              <w:rPr>
                <w:rFonts w:ascii="Times New Roman" w:hAnsi="Times New Roman"/>
                <w:snapToGrid w:val="0"/>
                <w:sz w:val="20"/>
                <w:szCs w:val="20"/>
                <w:lang w:val="es-ES_tradnl"/>
              </w:rPr>
            </w:pPr>
            <w:r w:rsidRPr="00A0444D">
              <w:rPr>
                <w:rFonts w:ascii="Times New Roman" w:hAnsi="Times New Roman"/>
                <w:snapToGrid w:val="0"/>
                <w:sz w:val="20"/>
                <w:szCs w:val="20"/>
                <w:vertAlign w:val="superscript"/>
                <w:lang w:val="es-ES_tradnl"/>
              </w:rPr>
              <w:t xml:space="preserve">     </w:t>
            </w:r>
            <w:r w:rsidRPr="00A0444D">
              <w:rPr>
                <w:rFonts w:ascii="Times New Roman" w:hAnsi="Times New Roman"/>
                <w:snapToGrid w:val="0"/>
                <w:sz w:val="20"/>
                <w:szCs w:val="20"/>
                <w:lang w:val="es-ES_tradnl"/>
              </w:rPr>
              <w:t>y</w:t>
            </w:r>
            <w:r w:rsidRPr="00A0444D">
              <w:rPr>
                <w:rFonts w:ascii="Times New Roman" w:hAnsi="Times New Roman"/>
                <w:snapToGrid w:val="0"/>
                <w:sz w:val="20"/>
                <w:szCs w:val="20"/>
                <w:vertAlign w:val="superscript"/>
                <w:lang w:val="es-ES_tradnl"/>
              </w:rPr>
              <w:t>i</w:t>
            </w:r>
            <w:r w:rsidRPr="00A0444D">
              <w:rPr>
                <w:rFonts w:ascii="Times New Roman" w:hAnsi="Times New Roman"/>
                <w:i/>
                <w:snapToGrid w:val="0"/>
                <w:sz w:val="20"/>
                <w:szCs w:val="20"/>
                <w:vertAlign w:val="subscript"/>
                <w:lang w:val="es-ES_tradnl"/>
              </w:rPr>
              <w:t>H</w:t>
            </w:r>
            <w:r w:rsidRPr="00A0444D">
              <w:rPr>
                <w:rFonts w:ascii="Times New Roman" w:hAnsi="Times New Roman"/>
                <w:snapToGrid w:val="0"/>
                <w:sz w:val="20"/>
                <w:szCs w:val="20"/>
                <w:vertAlign w:val="subscript"/>
                <w:lang w:val="es-ES_tradnl"/>
              </w:rPr>
              <w:t xml:space="preserve">1 </w:t>
            </w:r>
            <w:r w:rsidRPr="00A0444D">
              <w:rPr>
                <w:rFonts w:ascii="Times New Roman" w:hAnsi="Times New Roman"/>
                <w:snapToGrid w:val="0"/>
                <w:sz w:val="20"/>
                <w:szCs w:val="20"/>
                <w:lang w:val="es-ES_tradnl"/>
              </w:rPr>
              <w:t xml:space="preserve"> </w:t>
            </w:r>
          </w:p>
          <w:p w:rsidR="00C273A1" w:rsidRPr="00A0444D" w:rsidRDefault="00C273A1" w:rsidP="000D094B">
            <w:pPr>
              <w:ind w:right="113"/>
              <w:jc w:val="both"/>
              <w:rPr>
                <w:rFonts w:ascii="Times New Roman" w:hAnsi="Times New Roman"/>
                <w:snapToGrid w:val="0"/>
                <w:sz w:val="20"/>
                <w:szCs w:val="20"/>
                <w:vertAlign w:val="subscript"/>
                <w:lang w:val="es-ES_tradnl"/>
              </w:rPr>
            </w:pPr>
            <w:r w:rsidRPr="00A0444D">
              <w:rPr>
                <w:rFonts w:ascii="Times New Roman" w:hAnsi="Times New Roman"/>
                <w:snapToGrid w:val="0"/>
                <w:sz w:val="20"/>
                <w:szCs w:val="20"/>
                <w:lang w:val="es-ES_tradnl"/>
              </w:rPr>
              <w:t xml:space="preserve">    y</w:t>
            </w:r>
            <w:r w:rsidRPr="00A0444D">
              <w:rPr>
                <w:rFonts w:ascii="Times New Roman" w:hAnsi="Times New Roman"/>
                <w:snapToGrid w:val="0"/>
                <w:sz w:val="20"/>
                <w:szCs w:val="20"/>
                <w:vertAlign w:val="superscript"/>
                <w:lang w:val="es-ES_tradnl"/>
              </w:rPr>
              <w:t xml:space="preserve"> i</w:t>
            </w:r>
            <w:r w:rsidRPr="00A0444D">
              <w:rPr>
                <w:rFonts w:ascii="Times New Roman" w:hAnsi="Times New Roman"/>
                <w:snapToGrid w:val="0"/>
                <w:sz w:val="20"/>
                <w:szCs w:val="20"/>
                <w:vertAlign w:val="subscript"/>
                <w:lang w:val="es-ES_tradnl"/>
              </w:rPr>
              <w:t>H2</w:t>
            </w:r>
          </w:p>
          <w:p w:rsidR="00C273A1" w:rsidRPr="00A0444D" w:rsidRDefault="00C273A1" w:rsidP="000D094B">
            <w:pPr>
              <w:ind w:right="113"/>
              <w:jc w:val="both"/>
              <w:rPr>
                <w:rFonts w:ascii="Times New Roman" w:hAnsi="Times New Roman"/>
                <w:snapToGrid w:val="0"/>
                <w:sz w:val="20"/>
                <w:szCs w:val="20"/>
                <w:vertAlign w:val="subscript"/>
                <w:lang w:val="es-ES_tradnl"/>
              </w:rPr>
            </w:pPr>
            <w:r w:rsidRPr="00A0444D">
              <w:rPr>
                <w:rFonts w:ascii="Times New Roman" w:hAnsi="Times New Roman"/>
                <w:snapToGrid w:val="0"/>
                <w:sz w:val="20"/>
                <w:szCs w:val="20"/>
                <w:vertAlign w:val="subscript"/>
                <w:lang w:val="es-ES_tradnl"/>
              </w:rPr>
              <w:t xml:space="preserve">         ……</w:t>
            </w:r>
          </w:p>
          <w:p w:rsidR="00C273A1" w:rsidRPr="00A0444D" w:rsidRDefault="00C273A1" w:rsidP="000D094B">
            <w:pPr>
              <w:ind w:right="113"/>
              <w:jc w:val="both"/>
              <w:rPr>
                <w:rFonts w:ascii="Times New Roman" w:hAnsi="Times New Roman"/>
                <w:snapToGrid w:val="0"/>
                <w:sz w:val="20"/>
                <w:szCs w:val="20"/>
                <w:lang w:val="es-ES_tradnl"/>
              </w:rPr>
            </w:pPr>
            <w:r w:rsidRPr="00A0444D">
              <w:rPr>
                <w:rFonts w:ascii="Times New Roman" w:hAnsi="Times New Roman"/>
                <w:snapToGrid w:val="0"/>
                <w:sz w:val="20"/>
                <w:szCs w:val="20"/>
                <w:lang w:val="es-ES_tradnl"/>
              </w:rPr>
              <w:t xml:space="preserve">    y</w:t>
            </w:r>
            <w:r w:rsidRPr="00A0444D">
              <w:rPr>
                <w:rFonts w:ascii="Times New Roman" w:hAnsi="Times New Roman"/>
                <w:snapToGrid w:val="0"/>
                <w:sz w:val="20"/>
                <w:szCs w:val="20"/>
                <w:vertAlign w:val="superscript"/>
                <w:lang w:val="es-ES_tradnl"/>
              </w:rPr>
              <w:t xml:space="preserve"> i</w:t>
            </w:r>
            <w:r w:rsidRPr="00A0444D">
              <w:rPr>
                <w:rFonts w:ascii="Times New Roman" w:hAnsi="Times New Roman"/>
                <w:i/>
                <w:snapToGrid w:val="0"/>
                <w:sz w:val="20"/>
                <w:szCs w:val="20"/>
                <w:vertAlign w:val="subscript"/>
                <w:lang w:val="es-ES_tradnl"/>
              </w:rPr>
              <w:t>H</w:t>
            </w:r>
            <w:r w:rsidRPr="00A0444D">
              <w:rPr>
                <w:rFonts w:ascii="Times New Roman" w:hAnsi="Times New Roman"/>
                <w:snapToGrid w:val="0"/>
                <w:sz w:val="20"/>
                <w:szCs w:val="20"/>
                <w:vertAlign w:val="subscript"/>
                <w:lang w:val="es-ES_tradnl"/>
              </w:rPr>
              <w:t>n</w:t>
            </w:r>
            <w:r w:rsidRPr="00A0444D">
              <w:rPr>
                <w:rFonts w:ascii="Times New Roman" w:hAnsi="Times New Roman"/>
                <w:i/>
                <w:snapToGrid w:val="0"/>
                <w:sz w:val="20"/>
                <w:szCs w:val="20"/>
                <w:vertAlign w:val="subscript"/>
                <w:lang w:val="es-ES_tradnl"/>
              </w:rPr>
              <w:t>H</w:t>
            </w:r>
          </w:p>
        </w:tc>
        <w:tc>
          <w:tcPr>
            <w:tcW w:w="162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s-ES_tradnl"/>
              </w:rPr>
              <w:t xml:space="preserve">     </w:t>
            </w:r>
            <w:r w:rsidRPr="00A0444D">
              <w:rPr>
                <w:rFonts w:ascii="Times New Roman" w:hAnsi="Times New Roman"/>
                <w:snapToGrid w:val="0"/>
                <w:sz w:val="20"/>
                <w:szCs w:val="20"/>
                <w:lang w:val="en-GB"/>
              </w:rPr>
              <w:t>k</w:t>
            </w:r>
            <w:r w:rsidRPr="00A0444D">
              <w:rPr>
                <w:rFonts w:ascii="Times New Roman" w:hAnsi="Times New Roman"/>
                <w:i/>
                <w:snapToGrid w:val="0"/>
                <w:sz w:val="20"/>
                <w:szCs w:val="20"/>
                <w:vertAlign w:val="subscript"/>
                <w:lang w:val="en-GB"/>
              </w:rPr>
              <w:t>H</w:t>
            </w:r>
            <w:r w:rsidRPr="00A0444D">
              <w:rPr>
                <w:rFonts w:ascii="Times New Roman" w:hAnsi="Times New Roman"/>
                <w:snapToGrid w:val="0"/>
                <w:sz w:val="20"/>
                <w:szCs w:val="20"/>
                <w:vertAlign w:val="subscript"/>
                <w:lang w:val="en-GB"/>
              </w:rPr>
              <w:t xml:space="preserve">1 </w:t>
            </w:r>
            <w:r w:rsidRPr="00A0444D">
              <w:rPr>
                <w:rFonts w:ascii="Times New Roman" w:hAnsi="Times New Roman"/>
                <w:snapToGrid w:val="0"/>
                <w:sz w:val="20"/>
                <w:szCs w:val="20"/>
                <w:lang w:val="en-GB"/>
              </w:rPr>
              <w:t xml:space="preserve"> </w:t>
            </w:r>
          </w:p>
          <w:p w:rsidR="00C273A1" w:rsidRPr="00A0444D" w:rsidRDefault="00C273A1" w:rsidP="000D094B">
            <w:pPr>
              <w:ind w:right="113"/>
              <w:jc w:val="both"/>
              <w:rPr>
                <w:rFonts w:ascii="Times New Roman" w:hAnsi="Times New Roman"/>
                <w:snapToGrid w:val="0"/>
                <w:sz w:val="20"/>
                <w:szCs w:val="20"/>
                <w:vertAlign w:val="subscript"/>
                <w:lang w:val="en-GB"/>
              </w:rPr>
            </w:pPr>
            <w:r w:rsidRPr="00A0444D">
              <w:rPr>
                <w:rFonts w:ascii="Times New Roman" w:hAnsi="Times New Roman"/>
                <w:snapToGrid w:val="0"/>
                <w:sz w:val="20"/>
                <w:szCs w:val="20"/>
                <w:lang w:val="en-GB"/>
              </w:rPr>
              <w:t xml:space="preserve">     k</w:t>
            </w:r>
            <w:r w:rsidRPr="00A0444D">
              <w:rPr>
                <w:rFonts w:ascii="Times New Roman" w:hAnsi="Times New Roman"/>
                <w:i/>
                <w:snapToGrid w:val="0"/>
                <w:sz w:val="20"/>
                <w:szCs w:val="20"/>
                <w:vertAlign w:val="subscript"/>
                <w:lang w:val="en-GB"/>
              </w:rPr>
              <w:t>H</w:t>
            </w:r>
            <w:r w:rsidRPr="00A0444D">
              <w:rPr>
                <w:rFonts w:ascii="Times New Roman" w:hAnsi="Times New Roman"/>
                <w:snapToGrid w:val="0"/>
                <w:sz w:val="20"/>
                <w:szCs w:val="20"/>
                <w:vertAlign w:val="subscript"/>
                <w:lang w:val="en-GB"/>
              </w:rPr>
              <w:t>2</w:t>
            </w:r>
          </w:p>
          <w:p w:rsidR="00C273A1" w:rsidRPr="00A0444D" w:rsidRDefault="00C273A1" w:rsidP="000D094B">
            <w:pPr>
              <w:ind w:right="113"/>
              <w:jc w:val="both"/>
              <w:rPr>
                <w:rFonts w:ascii="Times New Roman" w:hAnsi="Times New Roman"/>
                <w:snapToGrid w:val="0"/>
                <w:sz w:val="20"/>
                <w:szCs w:val="20"/>
                <w:vertAlign w:val="subscript"/>
                <w:lang w:val="en-GB"/>
              </w:rPr>
            </w:pPr>
            <w:r w:rsidRPr="00A0444D">
              <w:rPr>
                <w:rFonts w:ascii="Times New Roman" w:hAnsi="Times New Roman"/>
                <w:snapToGrid w:val="0"/>
                <w:sz w:val="20"/>
                <w:szCs w:val="20"/>
                <w:vertAlign w:val="subscript"/>
                <w:lang w:val="en-GB"/>
              </w:rPr>
              <w:t xml:space="preserve">         ……</w:t>
            </w:r>
          </w:p>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k</w:t>
            </w:r>
            <w:r w:rsidRPr="00A0444D">
              <w:rPr>
                <w:rFonts w:ascii="Times New Roman" w:hAnsi="Times New Roman"/>
                <w:i/>
                <w:snapToGrid w:val="0"/>
                <w:sz w:val="20"/>
                <w:szCs w:val="20"/>
                <w:vertAlign w:val="subscript"/>
                <w:lang w:val="en-GB"/>
              </w:rPr>
              <w:t>H</w:t>
            </w:r>
            <w:r w:rsidRPr="00A0444D">
              <w:rPr>
                <w:rFonts w:ascii="Times New Roman" w:hAnsi="Times New Roman"/>
                <w:snapToGrid w:val="0"/>
                <w:sz w:val="20"/>
                <w:szCs w:val="20"/>
                <w:vertAlign w:val="subscript"/>
                <w:lang w:val="en-GB"/>
              </w:rPr>
              <w:t>n</w:t>
            </w:r>
            <w:r w:rsidRPr="00A0444D">
              <w:rPr>
                <w:rFonts w:ascii="Times New Roman" w:hAnsi="Times New Roman"/>
                <w:i/>
                <w:snapToGrid w:val="0"/>
                <w:sz w:val="20"/>
                <w:szCs w:val="20"/>
                <w:vertAlign w:val="subscript"/>
                <w:lang w:val="en-GB"/>
              </w:rPr>
              <w:t>H</w:t>
            </w:r>
          </w:p>
        </w:tc>
      </w:tr>
    </w:tbl>
    <w:p w:rsidR="00C273A1" w:rsidRPr="00A0444D" w:rsidRDefault="00C273A1" w:rsidP="002B1E64">
      <w:pPr>
        <w:spacing w:after="0"/>
        <w:ind w:right="113"/>
        <w:jc w:val="both"/>
        <w:rPr>
          <w:rFonts w:ascii="Times New Roman" w:hAnsi="Times New Roman"/>
          <w:snapToGrid w:val="0"/>
          <w:sz w:val="20"/>
          <w:szCs w:val="20"/>
          <w:lang w:val="en-GB"/>
        </w:rPr>
      </w:pPr>
    </w:p>
    <w:p w:rsidR="00C273A1" w:rsidRPr="000E2F29" w:rsidRDefault="00C273A1" w:rsidP="002B1E64">
      <w:pPr>
        <w:spacing w:after="0"/>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In order to determine the income received by each of the </w:t>
      </w:r>
      <w:r w:rsidRPr="00A0444D">
        <w:rPr>
          <w:rFonts w:ascii="Times New Roman" w:hAnsi="Times New Roman"/>
          <w:i/>
          <w:snapToGrid w:val="0"/>
          <w:sz w:val="20"/>
          <w:szCs w:val="20"/>
          <w:lang w:val="en-GB"/>
        </w:rPr>
        <w:t>H</w:t>
      </w:r>
      <w:r w:rsidRPr="00A0444D">
        <w:rPr>
          <w:rFonts w:ascii="Times New Roman" w:hAnsi="Times New Roman"/>
          <w:snapToGrid w:val="0"/>
          <w:sz w:val="20"/>
          <w:szCs w:val="20"/>
          <w:lang w:val="en-GB"/>
        </w:rPr>
        <w:t xml:space="preserve"> socio-economic group from the factors of production, we must multiply each block of the matrix </w:t>
      </w:r>
      <w:r w:rsidRPr="00A0444D">
        <w:rPr>
          <w:rFonts w:ascii="Times New Roman" w:hAnsi="Times New Roman"/>
          <w:b/>
          <w:snapToGrid w:val="0"/>
          <w:sz w:val="20"/>
          <w:szCs w:val="20"/>
          <w:lang w:val="en-GB"/>
        </w:rPr>
        <w:t>D</w:t>
      </w:r>
      <w:r w:rsidRPr="00A0444D">
        <w:rPr>
          <w:rFonts w:ascii="Times New Roman" w:hAnsi="Times New Roman"/>
          <w:snapToGrid w:val="0"/>
          <w:sz w:val="20"/>
          <w:szCs w:val="20"/>
          <w:lang w:val="en-GB"/>
        </w:rPr>
        <w:t xml:space="preserve"> by a unit row vector </w:t>
      </w:r>
      <w:r w:rsidRPr="00A0444D">
        <w:rPr>
          <w:rFonts w:ascii="Times New Roman" w:hAnsi="Times New Roman"/>
          <w:b/>
          <w:snapToGrid w:val="0"/>
          <w:sz w:val="20"/>
          <w:szCs w:val="20"/>
          <w:lang w:val="en-GB"/>
        </w:rPr>
        <w:t>e</w:t>
      </w:r>
      <w:r w:rsidRPr="00A0444D">
        <w:rPr>
          <w:rFonts w:ascii="Times New Roman" w:hAnsi="Times New Roman"/>
          <w:snapToGrid w:val="0"/>
          <w:sz w:val="20"/>
          <w:szCs w:val="20"/>
          <w:rtl/>
          <w:lang w:val="en-GB" w:bidi="he-IL"/>
        </w:rPr>
        <w:t>׳</w:t>
      </w:r>
      <w:r w:rsidRPr="00A0444D">
        <w:rPr>
          <w:rFonts w:ascii="Times New Roman" w:hAnsi="Times New Roman"/>
          <w:b/>
          <w:i/>
          <w:snapToGrid w:val="0"/>
          <w:sz w:val="20"/>
          <w:szCs w:val="20"/>
          <w:vertAlign w:val="subscript"/>
          <w:lang w:val="en-GB"/>
        </w:rPr>
        <w:t>nh</w:t>
      </w:r>
      <w:r w:rsidRPr="00A0444D">
        <w:rPr>
          <w:rFonts w:ascii="Times New Roman" w:hAnsi="Times New Roman"/>
          <w:snapToGrid w:val="0"/>
          <w:sz w:val="20"/>
          <w:szCs w:val="20"/>
          <w:lang w:val="en-GB"/>
        </w:rPr>
        <w:t xml:space="preserve">, (Bottiroli Civardi, Targetti Lenti, 1980, pp. 712-714 ) obtaining a new matrix </w:t>
      </w:r>
      <w:r w:rsidRPr="00A0444D">
        <w:rPr>
          <w:rFonts w:ascii="Times New Roman" w:hAnsi="Times New Roman"/>
          <w:b/>
          <w:snapToGrid w:val="0"/>
          <w:sz w:val="20"/>
          <w:szCs w:val="20"/>
          <w:lang w:val="en-GB"/>
        </w:rPr>
        <w:t>T</w:t>
      </w:r>
      <w:r w:rsidRPr="00A0444D">
        <w:rPr>
          <w:rFonts w:ascii="Times New Roman" w:hAnsi="Times New Roman"/>
          <w:snapToGrid w:val="0"/>
          <w:sz w:val="20"/>
          <w:szCs w:val="20"/>
          <w:lang w:val="en-GB"/>
        </w:rPr>
        <w:t xml:space="preserve"> with </w:t>
      </w:r>
      <w:r w:rsidRPr="00A0444D">
        <w:rPr>
          <w:rFonts w:ascii="Times New Roman" w:hAnsi="Times New Roman"/>
          <w:i/>
          <w:snapToGrid w:val="0"/>
          <w:sz w:val="20"/>
          <w:szCs w:val="20"/>
          <w:lang w:val="en-GB"/>
        </w:rPr>
        <w:t>H</w:t>
      </w:r>
      <w:r w:rsidRPr="00A0444D">
        <w:rPr>
          <w:rFonts w:ascii="Times New Roman" w:hAnsi="Times New Roman"/>
          <w:snapToGrid w:val="0"/>
          <w:sz w:val="20"/>
          <w:szCs w:val="20"/>
          <w:lang w:val="en-GB"/>
        </w:rPr>
        <w:t xml:space="preserve"> rows</w:t>
      </w:r>
      <w:r>
        <w:rPr>
          <w:rFonts w:ascii="Times New Roman" w:hAnsi="Times New Roman"/>
          <w:snapToGrid w:val="0"/>
          <w:sz w:val="20"/>
          <w:szCs w:val="20"/>
          <w:lang w:val="en-GB"/>
        </w:rPr>
        <w:t xml:space="preserve"> (</w:t>
      </w:r>
      <w:r w:rsidRPr="000E2F29">
        <w:rPr>
          <w:rFonts w:ascii="Times New Roman" w:hAnsi="Times New Roman"/>
          <w:snapToGrid w:val="0"/>
          <w:sz w:val="20"/>
          <w:szCs w:val="20"/>
          <w:lang w:val="en-GB"/>
        </w:rPr>
        <w:t>corresponding to the houshold groups</w:t>
      </w:r>
      <w:r>
        <w:rPr>
          <w:rFonts w:ascii="Times New Roman" w:hAnsi="Times New Roman"/>
          <w:snapToGrid w:val="0"/>
          <w:sz w:val="20"/>
          <w:szCs w:val="20"/>
          <w:lang w:val="en-GB"/>
        </w:rPr>
        <w:t>)</w:t>
      </w:r>
      <w:r w:rsidRPr="000E2F29">
        <w:rPr>
          <w:rFonts w:ascii="Times New Roman" w:hAnsi="Times New Roman"/>
          <w:snapToGrid w:val="0"/>
          <w:sz w:val="20"/>
          <w:szCs w:val="20"/>
          <w:lang w:val="en-GB"/>
        </w:rPr>
        <w:t xml:space="preserve"> and </w:t>
      </w:r>
      <w:r w:rsidRPr="000E2F29">
        <w:rPr>
          <w:rFonts w:ascii="Times New Roman" w:hAnsi="Times New Roman"/>
          <w:i/>
          <w:snapToGrid w:val="0"/>
          <w:sz w:val="20"/>
          <w:szCs w:val="20"/>
          <w:lang w:val="en-GB"/>
        </w:rPr>
        <w:t>F</w:t>
      </w:r>
      <w:r w:rsidRPr="000E2F29">
        <w:rPr>
          <w:rFonts w:ascii="Times New Roman" w:hAnsi="Times New Roman"/>
          <w:snapToGrid w:val="0"/>
          <w:sz w:val="20"/>
          <w:szCs w:val="20"/>
          <w:lang w:val="en-GB"/>
        </w:rPr>
        <w:t xml:space="preserve"> columns (three in this case).</w:t>
      </w:r>
    </w:p>
    <w:p w:rsidR="00C273A1" w:rsidRPr="000E2F29" w:rsidRDefault="00C273A1" w:rsidP="002B1E64">
      <w:pPr>
        <w:spacing w:after="0"/>
        <w:ind w:right="113"/>
        <w:jc w:val="both"/>
        <w:rPr>
          <w:rFonts w:ascii="Times New Roman" w:hAnsi="Times New Roman"/>
          <w:snapToGrid w:val="0"/>
          <w:sz w:val="20"/>
          <w:szCs w:val="20"/>
          <w:lang w:val="en-GB"/>
        </w:rPr>
      </w:pPr>
      <w:r w:rsidRPr="000E2F29">
        <w:rPr>
          <w:rFonts w:ascii="Times New Roman" w:hAnsi="Times New Roman"/>
          <w:snapToGrid w:val="0"/>
          <w:sz w:val="20"/>
          <w:szCs w:val="20"/>
          <w:lang w:val="en-GB"/>
        </w:rPr>
        <w:t xml:space="preserve">        Table 2 – Matrix </w:t>
      </w:r>
      <w:r w:rsidRPr="000E2F29">
        <w:rPr>
          <w:rFonts w:ascii="Times New Roman" w:hAnsi="Times New Roman"/>
          <w:b/>
          <w:snapToGrid w:val="0"/>
          <w:sz w:val="20"/>
          <w:szCs w:val="20"/>
          <w:lang w:val="en-GB"/>
        </w:rPr>
        <w:t>T</w:t>
      </w:r>
    </w:p>
    <w:p w:rsidR="00C273A1" w:rsidRPr="00A0444D" w:rsidRDefault="00C273A1" w:rsidP="002B1E64">
      <w:pPr>
        <w:spacing w:after="0"/>
        <w:ind w:right="113"/>
        <w:jc w:val="both"/>
        <w:rPr>
          <w:rFonts w:ascii="Times New Roman" w:hAnsi="Times New Roman"/>
          <w:snapToGrid w:val="0"/>
          <w:sz w:val="20"/>
          <w:szCs w:val="20"/>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980"/>
        <w:gridCol w:w="2340"/>
        <w:gridCol w:w="1620"/>
      </w:tblGrid>
      <w:tr w:rsidR="00C273A1" w:rsidRPr="00A0444D" w:rsidTr="000D094B">
        <w:trPr>
          <w:trHeight w:val="113"/>
        </w:trPr>
        <w:tc>
          <w:tcPr>
            <w:tcW w:w="306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Production Factors</w:t>
            </w:r>
          </w:p>
          <w:p w:rsidR="00C273A1" w:rsidRPr="00A0444D" w:rsidRDefault="00C273A1" w:rsidP="000D094B">
            <w:pPr>
              <w:ind w:right="113"/>
              <w:jc w:val="both"/>
              <w:rPr>
                <w:rFonts w:ascii="Times New Roman" w:hAnsi="Times New Roman"/>
                <w:snapToGrid w:val="0"/>
                <w:sz w:val="20"/>
                <w:szCs w:val="20"/>
                <w:lang w:val="en-GB"/>
              </w:rPr>
            </w:pPr>
          </w:p>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Household groups</w:t>
            </w:r>
          </w:p>
        </w:tc>
        <w:tc>
          <w:tcPr>
            <w:tcW w:w="1980" w:type="dxa"/>
          </w:tcPr>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Income from </w:t>
            </w:r>
            <w:r w:rsidRPr="00184530">
              <w:rPr>
                <w:rFonts w:ascii="Times New Roman" w:hAnsi="Times New Roman"/>
                <w:snapToGrid w:val="0"/>
                <w:sz w:val="20"/>
                <w:szCs w:val="20"/>
                <w:lang w:val="en-GB"/>
              </w:rPr>
              <w:t xml:space="preserve">Dependent </w:t>
            </w:r>
            <w:r w:rsidRPr="00A0444D">
              <w:rPr>
                <w:rFonts w:ascii="Times New Roman" w:hAnsi="Times New Roman"/>
                <w:snapToGrid w:val="0"/>
                <w:sz w:val="20"/>
                <w:szCs w:val="20"/>
                <w:lang w:val="en-GB"/>
              </w:rPr>
              <w:t xml:space="preserve"> labor</w:t>
            </w:r>
          </w:p>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d</w:t>
            </w:r>
          </w:p>
        </w:tc>
        <w:tc>
          <w:tcPr>
            <w:tcW w:w="2340" w:type="dxa"/>
          </w:tcPr>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Income from </w:t>
            </w:r>
            <w:r w:rsidRPr="00184530">
              <w:rPr>
                <w:rFonts w:ascii="Times New Roman" w:hAnsi="Times New Roman"/>
                <w:snapToGrid w:val="0"/>
                <w:sz w:val="20"/>
                <w:szCs w:val="20"/>
                <w:lang w:val="en-GB"/>
              </w:rPr>
              <w:t xml:space="preserve">Independent </w:t>
            </w:r>
            <w:r w:rsidRPr="00A0444D">
              <w:rPr>
                <w:rFonts w:ascii="Times New Roman" w:hAnsi="Times New Roman"/>
                <w:snapToGrid w:val="0"/>
                <w:sz w:val="20"/>
                <w:szCs w:val="20"/>
                <w:lang w:val="en-GB"/>
              </w:rPr>
              <w:t xml:space="preserve"> labor</w:t>
            </w:r>
          </w:p>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i</w:t>
            </w:r>
          </w:p>
        </w:tc>
        <w:tc>
          <w:tcPr>
            <w:tcW w:w="1620" w:type="dxa"/>
          </w:tcPr>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Income from    Capital</w:t>
            </w:r>
          </w:p>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k</w:t>
            </w:r>
          </w:p>
        </w:tc>
      </w:tr>
      <w:tr w:rsidR="00C273A1" w:rsidRPr="00A0444D" w:rsidTr="000D094B">
        <w:trPr>
          <w:trHeight w:val="227"/>
        </w:trPr>
        <w:tc>
          <w:tcPr>
            <w:tcW w:w="306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1</w:t>
            </w:r>
          </w:p>
        </w:tc>
        <w:tc>
          <w:tcPr>
            <w:tcW w:w="1980" w:type="dxa"/>
          </w:tcPr>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T</w:t>
            </w:r>
            <w:r w:rsidRPr="00A0444D">
              <w:rPr>
                <w:rFonts w:ascii="Times New Roman" w:hAnsi="Times New Roman"/>
                <w:snapToGrid w:val="0"/>
                <w:sz w:val="20"/>
                <w:szCs w:val="20"/>
                <w:vertAlign w:val="superscript"/>
                <w:lang w:val="en-GB"/>
              </w:rPr>
              <w:t>d</w:t>
            </w:r>
            <w:r w:rsidRPr="00A0444D">
              <w:rPr>
                <w:rFonts w:ascii="Times New Roman" w:hAnsi="Times New Roman"/>
                <w:snapToGrid w:val="0"/>
                <w:sz w:val="20"/>
                <w:szCs w:val="20"/>
                <w:vertAlign w:val="subscript"/>
                <w:lang w:val="en-GB"/>
              </w:rPr>
              <w:t>1</w:t>
            </w:r>
          </w:p>
        </w:tc>
        <w:tc>
          <w:tcPr>
            <w:tcW w:w="2340" w:type="dxa"/>
          </w:tcPr>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T</w:t>
            </w:r>
            <w:r w:rsidRPr="00A0444D">
              <w:rPr>
                <w:rFonts w:ascii="Times New Roman" w:hAnsi="Times New Roman"/>
                <w:snapToGrid w:val="0"/>
                <w:sz w:val="20"/>
                <w:szCs w:val="20"/>
                <w:vertAlign w:val="superscript"/>
                <w:lang w:val="en-GB"/>
              </w:rPr>
              <w:t>i</w:t>
            </w:r>
            <w:r w:rsidRPr="00A0444D">
              <w:rPr>
                <w:rFonts w:ascii="Times New Roman" w:hAnsi="Times New Roman"/>
                <w:snapToGrid w:val="0"/>
                <w:sz w:val="20"/>
                <w:szCs w:val="20"/>
                <w:vertAlign w:val="subscript"/>
                <w:lang w:val="en-GB"/>
              </w:rPr>
              <w:t>1</w:t>
            </w:r>
          </w:p>
        </w:tc>
        <w:tc>
          <w:tcPr>
            <w:tcW w:w="1620" w:type="dxa"/>
          </w:tcPr>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T</w:t>
            </w:r>
            <w:r w:rsidRPr="00A0444D">
              <w:rPr>
                <w:rFonts w:ascii="Times New Roman" w:hAnsi="Times New Roman"/>
                <w:snapToGrid w:val="0"/>
                <w:sz w:val="20"/>
                <w:szCs w:val="20"/>
                <w:vertAlign w:val="superscript"/>
                <w:lang w:val="en-GB"/>
              </w:rPr>
              <w:t>k</w:t>
            </w:r>
            <w:r w:rsidRPr="00A0444D">
              <w:rPr>
                <w:rFonts w:ascii="Times New Roman" w:hAnsi="Times New Roman"/>
                <w:snapToGrid w:val="0"/>
                <w:sz w:val="20"/>
                <w:szCs w:val="20"/>
                <w:vertAlign w:val="subscript"/>
                <w:lang w:val="en-GB"/>
              </w:rPr>
              <w:t>1</w:t>
            </w:r>
          </w:p>
        </w:tc>
      </w:tr>
      <w:tr w:rsidR="00C273A1" w:rsidRPr="00A0444D" w:rsidTr="000D094B">
        <w:trPr>
          <w:trHeight w:val="113"/>
        </w:trPr>
        <w:tc>
          <w:tcPr>
            <w:tcW w:w="306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2</w:t>
            </w:r>
          </w:p>
        </w:tc>
        <w:tc>
          <w:tcPr>
            <w:tcW w:w="1980" w:type="dxa"/>
          </w:tcPr>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T</w:t>
            </w:r>
            <w:r w:rsidRPr="00A0444D">
              <w:rPr>
                <w:rFonts w:ascii="Times New Roman" w:hAnsi="Times New Roman"/>
                <w:snapToGrid w:val="0"/>
                <w:sz w:val="20"/>
                <w:szCs w:val="20"/>
                <w:vertAlign w:val="superscript"/>
                <w:lang w:val="en-GB"/>
              </w:rPr>
              <w:t>d</w:t>
            </w:r>
            <w:r w:rsidRPr="00A0444D">
              <w:rPr>
                <w:rFonts w:ascii="Times New Roman" w:hAnsi="Times New Roman"/>
                <w:snapToGrid w:val="0"/>
                <w:sz w:val="20"/>
                <w:szCs w:val="20"/>
                <w:vertAlign w:val="subscript"/>
                <w:lang w:val="en-GB"/>
              </w:rPr>
              <w:t>2</w:t>
            </w:r>
          </w:p>
        </w:tc>
        <w:tc>
          <w:tcPr>
            <w:tcW w:w="2340" w:type="dxa"/>
          </w:tcPr>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T</w:t>
            </w:r>
            <w:r w:rsidRPr="00A0444D">
              <w:rPr>
                <w:rFonts w:ascii="Times New Roman" w:hAnsi="Times New Roman"/>
                <w:snapToGrid w:val="0"/>
                <w:sz w:val="20"/>
                <w:szCs w:val="20"/>
                <w:vertAlign w:val="superscript"/>
                <w:lang w:val="en-GB"/>
              </w:rPr>
              <w:t>i</w:t>
            </w:r>
            <w:r w:rsidRPr="00A0444D">
              <w:rPr>
                <w:rFonts w:ascii="Times New Roman" w:hAnsi="Times New Roman"/>
                <w:snapToGrid w:val="0"/>
                <w:sz w:val="20"/>
                <w:szCs w:val="20"/>
                <w:vertAlign w:val="subscript"/>
                <w:lang w:val="en-GB"/>
              </w:rPr>
              <w:t>2</w:t>
            </w:r>
          </w:p>
        </w:tc>
        <w:tc>
          <w:tcPr>
            <w:tcW w:w="1620" w:type="dxa"/>
          </w:tcPr>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T</w:t>
            </w:r>
            <w:r w:rsidRPr="00A0444D">
              <w:rPr>
                <w:rFonts w:ascii="Times New Roman" w:hAnsi="Times New Roman"/>
                <w:snapToGrid w:val="0"/>
                <w:sz w:val="20"/>
                <w:szCs w:val="20"/>
                <w:vertAlign w:val="superscript"/>
                <w:lang w:val="en-GB"/>
              </w:rPr>
              <w:t>k</w:t>
            </w:r>
            <w:r w:rsidRPr="00A0444D">
              <w:rPr>
                <w:rFonts w:ascii="Times New Roman" w:hAnsi="Times New Roman"/>
                <w:snapToGrid w:val="0"/>
                <w:sz w:val="20"/>
                <w:szCs w:val="20"/>
                <w:vertAlign w:val="subscript"/>
                <w:lang w:val="en-GB"/>
              </w:rPr>
              <w:t>2</w:t>
            </w:r>
          </w:p>
        </w:tc>
      </w:tr>
      <w:tr w:rsidR="00C273A1" w:rsidRPr="00A0444D" w:rsidTr="000D094B">
        <w:trPr>
          <w:trHeight w:val="113"/>
        </w:trPr>
        <w:tc>
          <w:tcPr>
            <w:tcW w:w="306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c>
          <w:tcPr>
            <w:tcW w:w="1980" w:type="dxa"/>
          </w:tcPr>
          <w:p w:rsidR="00C273A1" w:rsidRPr="00A0444D" w:rsidRDefault="00C273A1" w:rsidP="000D094B">
            <w:pPr>
              <w:ind w:right="113"/>
              <w:jc w:val="center"/>
              <w:rPr>
                <w:rFonts w:ascii="Times New Roman" w:hAnsi="Times New Roman"/>
                <w:snapToGrid w:val="0"/>
                <w:sz w:val="20"/>
                <w:szCs w:val="20"/>
                <w:lang w:val="en-GB"/>
              </w:rPr>
            </w:pPr>
          </w:p>
        </w:tc>
        <w:tc>
          <w:tcPr>
            <w:tcW w:w="2340" w:type="dxa"/>
          </w:tcPr>
          <w:p w:rsidR="00C273A1" w:rsidRPr="00A0444D" w:rsidRDefault="00C273A1" w:rsidP="000D094B">
            <w:pPr>
              <w:ind w:right="113"/>
              <w:jc w:val="center"/>
              <w:rPr>
                <w:rFonts w:ascii="Times New Roman" w:hAnsi="Times New Roman"/>
                <w:snapToGrid w:val="0"/>
                <w:sz w:val="20"/>
                <w:szCs w:val="20"/>
                <w:lang w:val="en-GB"/>
              </w:rPr>
            </w:pPr>
          </w:p>
        </w:tc>
        <w:tc>
          <w:tcPr>
            <w:tcW w:w="1620" w:type="dxa"/>
          </w:tcPr>
          <w:p w:rsidR="00C273A1" w:rsidRPr="00A0444D" w:rsidRDefault="00C273A1" w:rsidP="000D094B">
            <w:pPr>
              <w:ind w:right="113"/>
              <w:jc w:val="center"/>
              <w:rPr>
                <w:rFonts w:ascii="Times New Roman" w:hAnsi="Times New Roman"/>
                <w:snapToGrid w:val="0"/>
                <w:sz w:val="20"/>
                <w:szCs w:val="20"/>
                <w:lang w:val="en-GB"/>
              </w:rPr>
            </w:pPr>
          </w:p>
        </w:tc>
      </w:tr>
      <w:tr w:rsidR="00C273A1" w:rsidRPr="00A0444D" w:rsidTr="000D094B">
        <w:trPr>
          <w:trHeight w:val="227"/>
        </w:trPr>
        <w:tc>
          <w:tcPr>
            <w:tcW w:w="3060" w:type="dxa"/>
          </w:tcPr>
          <w:p w:rsidR="00C273A1" w:rsidRPr="00A0444D" w:rsidRDefault="00C273A1" w:rsidP="000D094B">
            <w:pPr>
              <w:ind w:right="113"/>
              <w:jc w:val="both"/>
              <w:rPr>
                <w:rFonts w:ascii="Times New Roman" w:hAnsi="Times New Roman"/>
                <w:i/>
                <w:snapToGrid w:val="0"/>
                <w:sz w:val="20"/>
                <w:szCs w:val="20"/>
                <w:lang w:val="en-GB"/>
              </w:rPr>
            </w:pPr>
            <w:r w:rsidRPr="00A0444D">
              <w:rPr>
                <w:rFonts w:ascii="Times New Roman" w:hAnsi="Times New Roman"/>
                <w:i/>
                <w:snapToGrid w:val="0"/>
                <w:sz w:val="20"/>
                <w:szCs w:val="20"/>
                <w:lang w:val="en-GB"/>
              </w:rPr>
              <w:t>H</w:t>
            </w:r>
          </w:p>
        </w:tc>
        <w:tc>
          <w:tcPr>
            <w:tcW w:w="1980" w:type="dxa"/>
          </w:tcPr>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T</w:t>
            </w:r>
            <w:r w:rsidRPr="00A0444D">
              <w:rPr>
                <w:rFonts w:ascii="Times New Roman" w:hAnsi="Times New Roman"/>
                <w:snapToGrid w:val="0"/>
                <w:sz w:val="20"/>
                <w:szCs w:val="20"/>
                <w:vertAlign w:val="superscript"/>
                <w:lang w:val="en-GB"/>
              </w:rPr>
              <w:t>d</w:t>
            </w:r>
            <w:r w:rsidRPr="00A0444D">
              <w:rPr>
                <w:rFonts w:ascii="Times New Roman" w:hAnsi="Times New Roman"/>
                <w:i/>
                <w:snapToGrid w:val="0"/>
                <w:sz w:val="20"/>
                <w:szCs w:val="20"/>
                <w:vertAlign w:val="subscript"/>
                <w:lang w:val="en-GB"/>
              </w:rPr>
              <w:t>H</w:t>
            </w:r>
          </w:p>
        </w:tc>
        <w:tc>
          <w:tcPr>
            <w:tcW w:w="2340" w:type="dxa"/>
          </w:tcPr>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T</w:t>
            </w:r>
            <w:r w:rsidRPr="00A0444D">
              <w:rPr>
                <w:rFonts w:ascii="Times New Roman" w:hAnsi="Times New Roman"/>
                <w:snapToGrid w:val="0"/>
                <w:sz w:val="20"/>
                <w:szCs w:val="20"/>
                <w:vertAlign w:val="superscript"/>
                <w:lang w:val="en-GB"/>
              </w:rPr>
              <w:t>i</w:t>
            </w:r>
            <w:r w:rsidRPr="00A0444D">
              <w:rPr>
                <w:rFonts w:ascii="Times New Roman" w:hAnsi="Times New Roman"/>
                <w:i/>
                <w:snapToGrid w:val="0"/>
                <w:sz w:val="20"/>
                <w:szCs w:val="20"/>
                <w:vertAlign w:val="subscript"/>
                <w:lang w:val="en-GB"/>
              </w:rPr>
              <w:t>H</w:t>
            </w:r>
          </w:p>
        </w:tc>
        <w:tc>
          <w:tcPr>
            <w:tcW w:w="1620" w:type="dxa"/>
          </w:tcPr>
          <w:p w:rsidR="00C273A1" w:rsidRPr="00A0444D" w:rsidRDefault="00C273A1" w:rsidP="000D094B">
            <w:pPr>
              <w:ind w:right="113"/>
              <w:jc w:val="center"/>
              <w:rPr>
                <w:rFonts w:ascii="Times New Roman" w:hAnsi="Times New Roman"/>
                <w:snapToGrid w:val="0"/>
                <w:sz w:val="20"/>
                <w:szCs w:val="20"/>
                <w:lang w:val="en-GB"/>
              </w:rPr>
            </w:pPr>
            <w:r w:rsidRPr="00A0444D">
              <w:rPr>
                <w:rFonts w:ascii="Times New Roman" w:hAnsi="Times New Roman"/>
                <w:snapToGrid w:val="0"/>
                <w:sz w:val="20"/>
                <w:szCs w:val="20"/>
                <w:lang w:val="en-GB"/>
              </w:rPr>
              <w:t>T</w:t>
            </w:r>
            <w:r w:rsidRPr="00A0444D">
              <w:rPr>
                <w:rFonts w:ascii="Times New Roman" w:hAnsi="Times New Roman"/>
                <w:snapToGrid w:val="0"/>
                <w:sz w:val="20"/>
                <w:szCs w:val="20"/>
                <w:vertAlign w:val="superscript"/>
                <w:lang w:val="en-GB"/>
              </w:rPr>
              <w:t>k</w:t>
            </w:r>
            <w:r w:rsidRPr="00A0444D">
              <w:rPr>
                <w:rFonts w:ascii="Times New Roman" w:hAnsi="Times New Roman"/>
                <w:i/>
                <w:snapToGrid w:val="0"/>
                <w:sz w:val="20"/>
                <w:szCs w:val="20"/>
                <w:vertAlign w:val="subscript"/>
                <w:lang w:val="en-GB"/>
              </w:rPr>
              <w:t>H</w:t>
            </w:r>
          </w:p>
        </w:tc>
      </w:tr>
    </w:tbl>
    <w:p w:rsidR="00C273A1" w:rsidRPr="00A0444D" w:rsidRDefault="00C273A1" w:rsidP="002B1E64">
      <w:pPr>
        <w:ind w:right="113"/>
        <w:jc w:val="both"/>
        <w:rPr>
          <w:rFonts w:ascii="Times New Roman" w:hAnsi="Times New Roman"/>
          <w:b/>
          <w:snapToGrid w:val="0"/>
          <w:sz w:val="20"/>
          <w:szCs w:val="20"/>
          <w:lang w:val="en-GB"/>
        </w:rPr>
      </w:pPr>
    </w:p>
    <w:p w:rsidR="00C273A1" w:rsidRDefault="00C273A1" w:rsidP="002B1E64">
      <w:pPr>
        <w:ind w:right="113"/>
        <w:jc w:val="both"/>
        <w:rPr>
          <w:rFonts w:ascii="Times New Roman" w:hAnsi="Times New Roman"/>
          <w:snapToGrid w:val="0"/>
          <w:sz w:val="20"/>
          <w:szCs w:val="20"/>
          <w:lang w:val="en-GB"/>
        </w:rPr>
      </w:pPr>
      <w:r w:rsidRPr="00A0444D">
        <w:rPr>
          <w:rFonts w:ascii="Times New Roman" w:hAnsi="Times New Roman"/>
          <w:b/>
          <w:snapToGrid w:val="0"/>
          <w:sz w:val="20"/>
          <w:szCs w:val="20"/>
          <w:lang w:val="en-GB"/>
        </w:rPr>
        <w:t>T</w:t>
      </w:r>
      <w:r w:rsidRPr="00A0444D">
        <w:rPr>
          <w:rFonts w:ascii="Times New Roman" w:hAnsi="Times New Roman"/>
          <w:snapToGrid w:val="0"/>
          <w:position w:val="-6"/>
          <w:sz w:val="20"/>
          <w:szCs w:val="20"/>
          <w:vertAlign w:val="subscript"/>
          <w:lang w:val="en-GB"/>
        </w:rPr>
        <w:t xml:space="preserve"> </w:t>
      </w:r>
      <w:r w:rsidRPr="00A0444D">
        <w:rPr>
          <w:rFonts w:ascii="Times New Roman" w:hAnsi="Times New Roman"/>
          <w:snapToGrid w:val="0"/>
          <w:sz w:val="20"/>
          <w:szCs w:val="20"/>
          <w:lang w:val="en-GB"/>
        </w:rPr>
        <w:t xml:space="preserve">is the matrix of the </w:t>
      </w:r>
      <w:r w:rsidRPr="00184530">
        <w:rPr>
          <w:rFonts w:ascii="Times New Roman" w:hAnsi="Times New Roman"/>
          <w:snapToGrid w:val="0"/>
          <w:sz w:val="20"/>
          <w:szCs w:val="20"/>
          <w:lang w:val="en-GB"/>
        </w:rPr>
        <w:t>market h</w:t>
      </w:r>
      <w:r w:rsidRPr="00A0444D">
        <w:rPr>
          <w:rFonts w:ascii="Times New Roman" w:hAnsi="Times New Roman"/>
          <w:snapToGrid w:val="0"/>
          <w:sz w:val="20"/>
          <w:szCs w:val="20"/>
          <w:lang w:val="en-GB"/>
        </w:rPr>
        <w:t xml:space="preserve">ouseholds’ income distribution and can be considered as the product of two matrices: the matrix </w:t>
      </w:r>
      <w:r w:rsidRPr="00A0444D">
        <w:rPr>
          <w:rFonts w:ascii="Times New Roman" w:hAnsi="Times New Roman"/>
          <w:b/>
          <w:snapToGrid w:val="0"/>
          <w:sz w:val="20"/>
          <w:szCs w:val="20"/>
          <w:lang w:val="en-GB"/>
        </w:rPr>
        <w:t>Y</w:t>
      </w:r>
      <w:r w:rsidRPr="00A0444D">
        <w:rPr>
          <w:rFonts w:ascii="Times New Roman" w:hAnsi="Times New Roman"/>
          <w:snapToGrid w:val="0"/>
          <w:sz w:val="20"/>
          <w:szCs w:val="20"/>
          <w:lang w:val="en-GB"/>
        </w:rPr>
        <w:t xml:space="preserve"> of the composition of the factorial income and the matrix </w:t>
      </w:r>
      <w:r w:rsidRPr="00A0444D">
        <w:rPr>
          <w:rFonts w:ascii="Times New Roman" w:hAnsi="Times New Roman"/>
          <w:b/>
          <w:snapToGrid w:val="0"/>
          <w:sz w:val="20"/>
          <w:szCs w:val="20"/>
          <w:lang w:val="en-GB"/>
        </w:rPr>
        <w:t>S</w:t>
      </w:r>
      <w:r w:rsidRPr="00A0444D">
        <w:rPr>
          <w:rFonts w:ascii="Times New Roman" w:hAnsi="Times New Roman"/>
          <w:snapToGrid w:val="0"/>
          <w:sz w:val="20"/>
          <w:szCs w:val="20"/>
          <w:lang w:val="en-GB"/>
        </w:rPr>
        <w:t xml:space="preserve"> of the structure of the ownership of the factors</w:t>
      </w:r>
      <w:r w:rsidRPr="00A0444D">
        <w:rPr>
          <w:rFonts w:ascii="Times New Roman" w:hAnsi="Times New Roman"/>
          <w:snapToGrid w:val="0"/>
          <w:color w:val="FF0000"/>
          <w:sz w:val="20"/>
          <w:szCs w:val="20"/>
          <w:lang w:val="en-GB"/>
        </w:rPr>
        <w:t xml:space="preserve"> </w:t>
      </w:r>
      <w:r w:rsidRPr="00A0444D">
        <w:rPr>
          <w:rFonts w:ascii="Times New Roman" w:hAnsi="Times New Roman"/>
          <w:snapToGrid w:val="0"/>
          <w:sz w:val="20"/>
          <w:szCs w:val="20"/>
          <w:lang w:val="en-GB"/>
        </w:rPr>
        <w:t>by the</w:t>
      </w:r>
      <w:r w:rsidRPr="000209ED">
        <w:rPr>
          <w:rFonts w:ascii="Times New Roman" w:hAnsi="Times New Roman"/>
          <w:snapToGrid w:val="0"/>
          <w:color w:val="FF0000"/>
          <w:sz w:val="20"/>
          <w:szCs w:val="20"/>
          <w:lang w:val="en-GB"/>
        </w:rPr>
        <w:t xml:space="preserve"> </w:t>
      </w:r>
      <w:r w:rsidRPr="00184530">
        <w:rPr>
          <w:rFonts w:ascii="Times New Roman" w:hAnsi="Times New Roman"/>
          <w:snapToGrid w:val="0"/>
          <w:sz w:val="20"/>
          <w:szCs w:val="20"/>
          <w:lang w:val="en-GB"/>
        </w:rPr>
        <w:t xml:space="preserve">different groups of </w:t>
      </w:r>
      <w:r w:rsidRPr="00A0444D">
        <w:rPr>
          <w:rFonts w:ascii="Times New Roman" w:hAnsi="Times New Roman"/>
          <w:snapToGrid w:val="0"/>
          <w:sz w:val="20"/>
          <w:szCs w:val="20"/>
          <w:lang w:val="en-GB"/>
        </w:rPr>
        <w:t xml:space="preserve">households: </w:t>
      </w:r>
    </w:p>
    <w:p w:rsidR="00C273A1" w:rsidRPr="00A0444D" w:rsidRDefault="00C273A1" w:rsidP="002B1E64">
      <w:pPr>
        <w:ind w:right="113"/>
        <w:jc w:val="both"/>
        <w:rPr>
          <w:rFonts w:ascii="Times New Roman" w:hAnsi="Times New Roman"/>
          <w:snapToGrid w:val="0"/>
          <w:sz w:val="20"/>
          <w:szCs w:val="20"/>
          <w:lang w:val="en-GB"/>
        </w:rPr>
      </w:pPr>
      <w:r w:rsidRPr="00A0444D">
        <w:rPr>
          <w:rFonts w:ascii="Times New Roman" w:hAnsi="Times New Roman"/>
          <w:b/>
          <w:snapToGrid w:val="0"/>
          <w:sz w:val="20"/>
          <w:szCs w:val="20"/>
          <w:lang w:val="en-GB"/>
        </w:rPr>
        <w:t>T</w:t>
      </w:r>
      <w:r w:rsidRPr="00A0444D">
        <w:rPr>
          <w:rFonts w:ascii="Times New Roman" w:hAnsi="Times New Roman"/>
          <w:snapToGrid w:val="0"/>
          <w:sz w:val="20"/>
          <w:szCs w:val="20"/>
          <w:lang w:val="en-GB"/>
        </w:rPr>
        <w:t xml:space="preserve"> =</w:t>
      </w:r>
      <w:r w:rsidRPr="00A0444D">
        <w:rPr>
          <w:rFonts w:ascii="Times New Roman" w:hAnsi="Times New Roman"/>
          <w:b/>
          <w:snapToGrid w:val="0"/>
          <w:sz w:val="20"/>
          <w:szCs w:val="20"/>
          <w:lang w:val="en-GB"/>
        </w:rPr>
        <w:t xml:space="preserve"> S.Y</w:t>
      </w:r>
      <w:r w:rsidRPr="00A0444D">
        <w:rPr>
          <w:rFonts w:ascii="Times New Roman" w:hAnsi="Times New Roman"/>
          <w:snapToGrid w:val="0"/>
          <w:sz w:val="20"/>
          <w:szCs w:val="20"/>
          <w:lang w:val="en-GB"/>
        </w:rPr>
        <w:t xml:space="preserve">                                            (6)</w:t>
      </w:r>
    </w:p>
    <w:p w:rsidR="00C273A1" w:rsidRPr="00A0444D" w:rsidRDefault="00C273A1" w:rsidP="002B1E64">
      <w:pPr>
        <w:ind w:right="113"/>
        <w:jc w:val="both"/>
        <w:rPr>
          <w:rFonts w:ascii="Times New Roman" w:hAnsi="Times New Roman"/>
          <w:i/>
          <w:snapToGrid w:val="0"/>
          <w:sz w:val="20"/>
          <w:szCs w:val="20"/>
          <w:lang w:val="en-GB"/>
        </w:rPr>
      </w:pPr>
      <w:r w:rsidRPr="00A0444D">
        <w:rPr>
          <w:rFonts w:ascii="Times New Roman" w:hAnsi="Times New Roman"/>
          <w:snapToGrid w:val="0"/>
          <w:sz w:val="20"/>
          <w:szCs w:val="20"/>
          <w:lang w:val="en-GB"/>
        </w:rPr>
        <w:t xml:space="preserve">In the general case, if we consider the factorial income classified in </w:t>
      </w:r>
      <w:r w:rsidRPr="00A0444D">
        <w:rPr>
          <w:rFonts w:ascii="Times New Roman" w:hAnsi="Times New Roman"/>
          <w:i/>
          <w:snapToGrid w:val="0"/>
          <w:sz w:val="20"/>
          <w:szCs w:val="20"/>
          <w:lang w:val="en-GB"/>
        </w:rPr>
        <w:t>F</w:t>
      </w:r>
      <w:r w:rsidRPr="00A0444D">
        <w:rPr>
          <w:rFonts w:ascii="Times New Roman" w:hAnsi="Times New Roman"/>
          <w:snapToGrid w:val="0"/>
          <w:sz w:val="20"/>
          <w:szCs w:val="20"/>
          <w:lang w:val="en-GB"/>
        </w:rPr>
        <w:t xml:space="preserve"> components, we can define the matrices </w:t>
      </w:r>
      <w:r w:rsidRPr="00A0444D">
        <w:rPr>
          <w:rFonts w:ascii="Times New Roman" w:hAnsi="Times New Roman"/>
          <w:b/>
          <w:snapToGrid w:val="0"/>
          <w:sz w:val="20"/>
          <w:szCs w:val="20"/>
          <w:lang w:val="en-GB"/>
        </w:rPr>
        <w:t>Y</w:t>
      </w:r>
      <w:r w:rsidRPr="00A0444D">
        <w:rPr>
          <w:rFonts w:ascii="Times New Roman" w:hAnsi="Times New Roman"/>
          <w:snapToGrid w:val="0"/>
          <w:sz w:val="20"/>
          <w:szCs w:val="20"/>
          <w:lang w:val="en-GB"/>
        </w:rPr>
        <w:t xml:space="preserve"> and </w:t>
      </w:r>
      <w:r w:rsidRPr="00A0444D">
        <w:rPr>
          <w:rFonts w:ascii="Times New Roman" w:hAnsi="Times New Roman"/>
          <w:b/>
          <w:snapToGrid w:val="0"/>
          <w:sz w:val="20"/>
          <w:szCs w:val="20"/>
          <w:lang w:val="en-GB"/>
        </w:rPr>
        <w:t>S</w:t>
      </w:r>
      <w:r w:rsidRPr="00A0444D">
        <w:rPr>
          <w:rFonts w:ascii="Times New Roman" w:hAnsi="Times New Roman"/>
          <w:snapToGrid w:val="0"/>
          <w:sz w:val="20"/>
          <w:szCs w:val="20"/>
          <w:lang w:val="en-GB"/>
        </w:rPr>
        <w:t xml:space="preserve"> as:</w:t>
      </w:r>
      <w:r w:rsidRPr="00A0444D">
        <w:rPr>
          <w:rFonts w:ascii="Times New Roman" w:hAnsi="Times New Roman"/>
          <w:i/>
          <w:snapToGrid w:val="0"/>
          <w:sz w:val="20"/>
          <w:szCs w:val="20"/>
          <w:lang w:val="en-GB"/>
        </w:rPr>
        <w:tab/>
      </w:r>
    </w:p>
    <w:p w:rsidR="00C273A1" w:rsidRPr="00B401D2" w:rsidRDefault="00C273A1" w:rsidP="002B1E64">
      <w:pPr>
        <w:ind w:right="113"/>
        <w:jc w:val="both"/>
        <w:rPr>
          <w:rFonts w:ascii="Times New Roman" w:hAnsi="Times New Roman"/>
          <w:snapToGrid w:val="0"/>
          <w:sz w:val="20"/>
          <w:szCs w:val="20"/>
          <w:lang w:val="en-GB"/>
        </w:rPr>
      </w:pPr>
      <w:r>
        <w:rPr>
          <w:rFonts w:ascii="Times New Roman" w:hAnsi="Times New Roman"/>
          <w:snapToGrid w:val="0"/>
          <w:sz w:val="20"/>
          <w:szCs w:val="20"/>
          <w:lang w:val="en-GB"/>
        </w:rPr>
        <w:t xml:space="preserve">Table 3 – Matrix </w:t>
      </w:r>
      <w:r w:rsidRPr="00B401D2">
        <w:rPr>
          <w:rFonts w:ascii="Times New Roman" w:hAnsi="Times New Roman"/>
          <w:b/>
          <w:snapToGrid w:val="0"/>
          <w:sz w:val="20"/>
          <w:szCs w:val="20"/>
          <w:lang w:val="en-GB"/>
        </w:rPr>
        <w:t>Y</w:t>
      </w:r>
    </w:p>
    <w:tbl>
      <w:tblPr>
        <w:tblpPr w:leftFromText="141" w:rightFromText="141" w:vertAnchor="text" w:horzAnchor="margin" w:tblpY="11"/>
        <w:tblW w:w="0" w:type="auto"/>
        <w:tblBorders>
          <w:left w:val="single" w:sz="4" w:space="0" w:color="auto"/>
          <w:right w:val="single" w:sz="4" w:space="0" w:color="auto"/>
        </w:tblBorders>
        <w:tblLook w:val="01E0" w:firstRow="1" w:lastRow="1" w:firstColumn="1" w:lastColumn="1" w:noHBand="0" w:noVBand="0"/>
      </w:tblPr>
      <w:tblGrid>
        <w:gridCol w:w="648"/>
        <w:gridCol w:w="720"/>
        <w:gridCol w:w="720"/>
        <w:gridCol w:w="720"/>
        <w:gridCol w:w="720"/>
        <w:gridCol w:w="720"/>
        <w:gridCol w:w="720"/>
      </w:tblGrid>
      <w:tr w:rsidR="00C273A1" w:rsidRPr="00A0444D" w:rsidTr="000D094B">
        <w:trPr>
          <w:trHeight w:val="710"/>
        </w:trPr>
        <w:tc>
          <w:tcPr>
            <w:tcW w:w="648" w:type="dxa"/>
            <w:tcBorders>
              <w:left w:val="nil"/>
              <w:right w:val="single" w:sz="4" w:space="0" w:color="auto"/>
            </w:tcBorders>
          </w:tcPr>
          <w:p w:rsidR="00C273A1" w:rsidRPr="00A0444D" w:rsidRDefault="00C273A1" w:rsidP="000D094B">
            <w:pPr>
              <w:ind w:right="113"/>
              <w:jc w:val="both"/>
              <w:rPr>
                <w:rFonts w:ascii="Times New Roman" w:hAnsi="Times New Roman"/>
                <w:b/>
                <w:snapToGrid w:val="0"/>
                <w:sz w:val="20"/>
                <w:szCs w:val="20"/>
                <w:lang w:val="en-GB"/>
              </w:rPr>
            </w:pPr>
          </w:p>
        </w:tc>
        <w:tc>
          <w:tcPr>
            <w:tcW w:w="720" w:type="dxa"/>
            <w:tcBorders>
              <w:left w:val="single" w:sz="4" w:space="0" w:color="auto"/>
            </w:tcBorders>
            <w:vAlign w:val="center"/>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 xml:space="preserve">         Y</w:t>
            </w:r>
            <w:r w:rsidRPr="00A0444D">
              <w:rPr>
                <w:rFonts w:ascii="Times New Roman" w:hAnsi="Times New Roman"/>
                <w:b/>
                <w:snapToGrid w:val="0"/>
                <w:position w:val="6"/>
                <w:sz w:val="20"/>
                <w:szCs w:val="20"/>
                <w:lang w:val="en-GB"/>
              </w:rPr>
              <w:t>1</w:t>
            </w:r>
            <w:r w:rsidRPr="00A0444D">
              <w:rPr>
                <w:rFonts w:ascii="Times New Roman" w:hAnsi="Times New Roman"/>
                <w:snapToGrid w:val="0"/>
                <w:sz w:val="20"/>
                <w:szCs w:val="20"/>
                <w:lang w:val="en-GB"/>
              </w:rPr>
              <w:t xml:space="preserve">     </w:t>
            </w:r>
          </w:p>
        </w:tc>
        <w:tc>
          <w:tcPr>
            <w:tcW w:w="720" w:type="dxa"/>
            <w:vAlign w:val="bottom"/>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0</w:t>
            </w:r>
          </w:p>
        </w:tc>
        <w:tc>
          <w:tcPr>
            <w:tcW w:w="720" w:type="dxa"/>
            <w:vAlign w:val="bottom"/>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 xml:space="preserve">......  </w:t>
            </w:r>
          </w:p>
        </w:tc>
        <w:tc>
          <w:tcPr>
            <w:tcW w:w="720" w:type="dxa"/>
            <w:vAlign w:val="bottom"/>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 xml:space="preserve">......  </w:t>
            </w:r>
          </w:p>
        </w:tc>
        <w:tc>
          <w:tcPr>
            <w:tcW w:w="720" w:type="dxa"/>
            <w:vAlign w:val="bottom"/>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 xml:space="preserve">......  </w:t>
            </w:r>
          </w:p>
        </w:tc>
        <w:tc>
          <w:tcPr>
            <w:tcW w:w="720" w:type="dxa"/>
            <w:vAlign w:val="bottom"/>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 xml:space="preserve">    0</w:t>
            </w:r>
          </w:p>
        </w:tc>
      </w:tr>
      <w:tr w:rsidR="00C273A1" w:rsidRPr="00A0444D" w:rsidTr="000D094B">
        <w:tc>
          <w:tcPr>
            <w:tcW w:w="648" w:type="dxa"/>
            <w:tcBorders>
              <w:left w:val="nil"/>
              <w:right w:val="single" w:sz="4" w:space="0" w:color="auto"/>
            </w:tcBorders>
            <w:vAlign w:val="bottom"/>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Y=</w:t>
            </w:r>
          </w:p>
        </w:tc>
        <w:tc>
          <w:tcPr>
            <w:tcW w:w="720" w:type="dxa"/>
            <w:tcBorders>
              <w:left w:val="single" w:sz="4" w:space="0" w:color="auto"/>
            </w:tcBorders>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 xml:space="preserve">    0</w:t>
            </w:r>
          </w:p>
        </w:tc>
        <w:tc>
          <w:tcPr>
            <w:tcW w:w="720" w:type="dxa"/>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Y</w:t>
            </w:r>
            <w:r w:rsidRPr="00A0444D">
              <w:rPr>
                <w:rFonts w:ascii="Times New Roman" w:hAnsi="Times New Roman"/>
                <w:b/>
                <w:snapToGrid w:val="0"/>
                <w:position w:val="6"/>
                <w:sz w:val="20"/>
                <w:szCs w:val="20"/>
                <w:lang w:val="en-GB"/>
              </w:rPr>
              <w:t>2</w:t>
            </w:r>
          </w:p>
        </w:tc>
        <w:tc>
          <w:tcPr>
            <w:tcW w:w="720" w:type="dxa"/>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w:t>
            </w:r>
          </w:p>
        </w:tc>
        <w:tc>
          <w:tcPr>
            <w:tcW w:w="720" w:type="dxa"/>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 xml:space="preserve">......  </w:t>
            </w:r>
          </w:p>
        </w:tc>
        <w:tc>
          <w:tcPr>
            <w:tcW w:w="720" w:type="dxa"/>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w:t>
            </w:r>
          </w:p>
        </w:tc>
        <w:tc>
          <w:tcPr>
            <w:tcW w:w="720" w:type="dxa"/>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 xml:space="preserve">    0</w:t>
            </w:r>
          </w:p>
        </w:tc>
      </w:tr>
      <w:tr w:rsidR="00C273A1" w:rsidRPr="00A0444D" w:rsidTr="000D094B">
        <w:tc>
          <w:tcPr>
            <w:tcW w:w="648" w:type="dxa"/>
            <w:tcBorders>
              <w:left w:val="nil"/>
              <w:right w:val="single" w:sz="4" w:space="0" w:color="auto"/>
            </w:tcBorders>
          </w:tcPr>
          <w:p w:rsidR="00C273A1" w:rsidRPr="00A0444D" w:rsidRDefault="00C273A1" w:rsidP="000D094B">
            <w:pPr>
              <w:ind w:right="113"/>
              <w:jc w:val="both"/>
              <w:rPr>
                <w:rFonts w:ascii="Times New Roman" w:hAnsi="Times New Roman"/>
                <w:b/>
                <w:snapToGrid w:val="0"/>
                <w:sz w:val="20"/>
                <w:szCs w:val="20"/>
                <w:lang w:val="en-GB"/>
              </w:rPr>
            </w:pPr>
          </w:p>
        </w:tc>
        <w:tc>
          <w:tcPr>
            <w:tcW w:w="720" w:type="dxa"/>
            <w:tcBorders>
              <w:left w:val="single" w:sz="4" w:space="0" w:color="auto"/>
            </w:tcBorders>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 xml:space="preserve">    0</w:t>
            </w:r>
          </w:p>
        </w:tc>
        <w:tc>
          <w:tcPr>
            <w:tcW w:w="720" w:type="dxa"/>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 xml:space="preserve">    0</w:t>
            </w:r>
          </w:p>
        </w:tc>
        <w:tc>
          <w:tcPr>
            <w:tcW w:w="720" w:type="dxa"/>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 xml:space="preserve">......  </w:t>
            </w:r>
          </w:p>
        </w:tc>
        <w:tc>
          <w:tcPr>
            <w:tcW w:w="720" w:type="dxa"/>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Y</w:t>
            </w:r>
            <w:r w:rsidRPr="00A0444D">
              <w:rPr>
                <w:rFonts w:ascii="Times New Roman" w:hAnsi="Times New Roman"/>
                <w:b/>
                <w:i/>
                <w:snapToGrid w:val="0"/>
                <w:position w:val="6"/>
                <w:sz w:val="20"/>
                <w:szCs w:val="20"/>
                <w:lang w:val="en-GB"/>
              </w:rPr>
              <w:t>f</w:t>
            </w:r>
          </w:p>
        </w:tc>
        <w:tc>
          <w:tcPr>
            <w:tcW w:w="720" w:type="dxa"/>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w:t>
            </w:r>
          </w:p>
        </w:tc>
        <w:tc>
          <w:tcPr>
            <w:tcW w:w="720" w:type="dxa"/>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 xml:space="preserve">    0</w:t>
            </w:r>
          </w:p>
        </w:tc>
      </w:tr>
      <w:tr w:rsidR="00C273A1" w:rsidRPr="00A0444D" w:rsidTr="000D094B">
        <w:tc>
          <w:tcPr>
            <w:tcW w:w="648" w:type="dxa"/>
            <w:tcBorders>
              <w:left w:val="nil"/>
              <w:right w:val="single" w:sz="4" w:space="0" w:color="auto"/>
            </w:tcBorders>
          </w:tcPr>
          <w:p w:rsidR="00C273A1" w:rsidRPr="00A0444D" w:rsidRDefault="00C273A1" w:rsidP="000D094B">
            <w:pPr>
              <w:ind w:right="113"/>
              <w:jc w:val="both"/>
              <w:rPr>
                <w:rFonts w:ascii="Times New Roman" w:hAnsi="Times New Roman"/>
                <w:b/>
                <w:snapToGrid w:val="0"/>
                <w:sz w:val="20"/>
                <w:szCs w:val="20"/>
                <w:lang w:val="en-GB"/>
              </w:rPr>
            </w:pPr>
          </w:p>
        </w:tc>
        <w:tc>
          <w:tcPr>
            <w:tcW w:w="720" w:type="dxa"/>
            <w:tcBorders>
              <w:left w:val="single" w:sz="4" w:space="0" w:color="auto"/>
            </w:tcBorders>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 xml:space="preserve">    0</w:t>
            </w:r>
          </w:p>
        </w:tc>
        <w:tc>
          <w:tcPr>
            <w:tcW w:w="720" w:type="dxa"/>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 xml:space="preserve">    0</w:t>
            </w:r>
          </w:p>
        </w:tc>
        <w:tc>
          <w:tcPr>
            <w:tcW w:w="720" w:type="dxa"/>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w:t>
            </w:r>
          </w:p>
        </w:tc>
        <w:tc>
          <w:tcPr>
            <w:tcW w:w="720" w:type="dxa"/>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w:t>
            </w:r>
          </w:p>
        </w:tc>
        <w:tc>
          <w:tcPr>
            <w:tcW w:w="720" w:type="dxa"/>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w:t>
            </w:r>
          </w:p>
        </w:tc>
        <w:tc>
          <w:tcPr>
            <w:tcW w:w="720" w:type="dxa"/>
          </w:tcPr>
          <w:p w:rsidR="00C273A1" w:rsidRPr="00A0444D" w:rsidRDefault="00C273A1" w:rsidP="000D094B">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Y</w:t>
            </w:r>
            <w:r w:rsidRPr="00A0444D">
              <w:rPr>
                <w:rFonts w:ascii="Times New Roman" w:hAnsi="Times New Roman"/>
                <w:b/>
                <w:i/>
                <w:snapToGrid w:val="0"/>
                <w:position w:val="6"/>
                <w:sz w:val="20"/>
                <w:szCs w:val="20"/>
                <w:lang w:val="en-GB"/>
              </w:rPr>
              <w:t>F</w:t>
            </w:r>
          </w:p>
        </w:tc>
      </w:tr>
    </w:tbl>
    <w:p w:rsidR="00C273A1" w:rsidRPr="00A0444D" w:rsidRDefault="00C273A1" w:rsidP="002B1E64">
      <w:pPr>
        <w:ind w:right="113"/>
        <w:jc w:val="both"/>
        <w:rPr>
          <w:rFonts w:ascii="Times New Roman" w:hAnsi="Times New Roman"/>
          <w:snapToGrid w:val="0"/>
          <w:sz w:val="20"/>
          <w:szCs w:val="20"/>
          <w:lang w:val="en-GB"/>
        </w:rPr>
      </w:pPr>
      <w:r w:rsidRPr="00A0444D">
        <w:rPr>
          <w:rFonts w:ascii="Times New Roman" w:hAnsi="Times New Roman"/>
          <w:i/>
          <w:snapToGrid w:val="0"/>
          <w:sz w:val="20"/>
          <w:szCs w:val="20"/>
          <w:lang w:val="en-GB"/>
        </w:rPr>
        <w:tab/>
      </w:r>
      <w:r w:rsidRPr="00A0444D">
        <w:rPr>
          <w:rFonts w:ascii="Times New Roman" w:hAnsi="Times New Roman"/>
          <w:i/>
          <w:snapToGrid w:val="0"/>
          <w:sz w:val="20"/>
          <w:szCs w:val="20"/>
          <w:lang w:val="en-GB"/>
        </w:rPr>
        <w:tab/>
      </w:r>
      <w:r w:rsidRPr="00A0444D">
        <w:rPr>
          <w:rFonts w:ascii="Times New Roman" w:hAnsi="Times New Roman"/>
          <w:snapToGrid w:val="0"/>
          <w:sz w:val="20"/>
          <w:szCs w:val="20"/>
          <w:lang w:val="en-GB"/>
        </w:rPr>
        <w:t xml:space="preserve">                   </w:t>
      </w:r>
    </w:p>
    <w:p w:rsidR="00C273A1" w:rsidRPr="00A0444D" w:rsidRDefault="00C273A1" w:rsidP="002B1E64">
      <w:pPr>
        <w:ind w:right="113" w:firstLine="720"/>
        <w:jc w:val="both"/>
        <w:rPr>
          <w:rFonts w:ascii="Times New Roman" w:hAnsi="Times New Roman"/>
          <w:snapToGrid w:val="0"/>
          <w:sz w:val="20"/>
          <w:szCs w:val="20"/>
          <w:lang w:val="en-GB"/>
        </w:rPr>
      </w:pPr>
    </w:p>
    <w:p w:rsidR="00C273A1" w:rsidRPr="00A0444D" w:rsidRDefault="00C273A1" w:rsidP="002B1E64">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ab/>
      </w:r>
      <w:r w:rsidRPr="00A0444D">
        <w:rPr>
          <w:rFonts w:ascii="Times New Roman" w:hAnsi="Times New Roman"/>
          <w:snapToGrid w:val="0"/>
          <w:sz w:val="20"/>
          <w:szCs w:val="20"/>
          <w:lang w:val="en-GB"/>
        </w:rPr>
        <w:tab/>
      </w:r>
      <w:r w:rsidRPr="00A0444D">
        <w:rPr>
          <w:rFonts w:ascii="Times New Roman" w:hAnsi="Times New Roman"/>
          <w:snapToGrid w:val="0"/>
          <w:sz w:val="20"/>
          <w:szCs w:val="20"/>
          <w:lang w:val="en-GB"/>
        </w:rPr>
        <w:tab/>
      </w:r>
      <w:r w:rsidRPr="00A0444D">
        <w:rPr>
          <w:rFonts w:ascii="Times New Roman" w:hAnsi="Times New Roman"/>
          <w:snapToGrid w:val="0"/>
          <w:sz w:val="20"/>
          <w:szCs w:val="20"/>
          <w:lang w:val="en-GB"/>
        </w:rPr>
        <w:tab/>
        <w:t xml:space="preserve"> </w:t>
      </w:r>
    </w:p>
    <w:p w:rsidR="00C273A1" w:rsidRPr="00A0444D" w:rsidRDefault="00C273A1" w:rsidP="002B1E64">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ab/>
      </w:r>
    </w:p>
    <w:p w:rsidR="00C273A1" w:rsidRPr="00A0444D" w:rsidRDefault="00C273A1" w:rsidP="002B1E64">
      <w:pPr>
        <w:ind w:right="113"/>
        <w:jc w:val="both"/>
        <w:rPr>
          <w:rFonts w:ascii="Times New Roman" w:hAnsi="Times New Roman"/>
          <w:b/>
          <w:snapToGrid w:val="0"/>
          <w:sz w:val="20"/>
          <w:szCs w:val="20"/>
          <w:lang w:val="en-GB"/>
        </w:rPr>
      </w:pPr>
    </w:p>
    <w:p w:rsidR="00C273A1" w:rsidRPr="00A0444D" w:rsidRDefault="00C273A1" w:rsidP="002B1E64">
      <w:pPr>
        <w:ind w:right="113"/>
        <w:jc w:val="both"/>
        <w:rPr>
          <w:rFonts w:ascii="Times New Roman" w:hAnsi="Times New Roman"/>
          <w:b/>
          <w:snapToGrid w:val="0"/>
          <w:sz w:val="20"/>
          <w:szCs w:val="20"/>
          <w:lang w:val="en-GB"/>
        </w:rPr>
      </w:pPr>
      <w:r w:rsidRPr="00A0444D">
        <w:rPr>
          <w:rFonts w:ascii="Times New Roman" w:hAnsi="Times New Roman"/>
          <w:b/>
          <w:snapToGrid w:val="0"/>
          <w:sz w:val="20"/>
          <w:szCs w:val="20"/>
          <w:lang w:val="en-GB"/>
        </w:rPr>
        <w:t xml:space="preserve">    </w:t>
      </w:r>
      <w:r w:rsidRPr="00A0444D">
        <w:rPr>
          <w:rFonts w:ascii="Times New Roman" w:hAnsi="Times New Roman"/>
          <w:b/>
          <w:i/>
          <w:snapToGrid w:val="0"/>
          <w:position w:val="6"/>
          <w:sz w:val="20"/>
          <w:szCs w:val="20"/>
          <w:lang w:val="en-GB"/>
        </w:rPr>
        <w:tab/>
      </w:r>
      <w:r w:rsidRPr="00A0444D">
        <w:rPr>
          <w:rFonts w:ascii="Times New Roman" w:hAnsi="Times New Roman"/>
          <w:b/>
          <w:snapToGrid w:val="0"/>
          <w:sz w:val="20"/>
          <w:szCs w:val="20"/>
          <w:lang w:val="en-GB"/>
        </w:rPr>
        <w:t xml:space="preserve">  </w:t>
      </w:r>
      <w:r w:rsidRPr="00A0444D">
        <w:rPr>
          <w:rFonts w:ascii="Times New Roman" w:hAnsi="Times New Roman"/>
          <w:b/>
          <w:snapToGrid w:val="0"/>
          <w:sz w:val="20"/>
          <w:szCs w:val="20"/>
          <w:lang w:val="en-GB"/>
        </w:rPr>
        <w:tab/>
      </w:r>
      <w:r w:rsidRPr="00A0444D">
        <w:rPr>
          <w:rFonts w:ascii="Times New Roman" w:hAnsi="Times New Roman"/>
          <w:b/>
          <w:snapToGrid w:val="0"/>
          <w:sz w:val="20"/>
          <w:szCs w:val="20"/>
          <w:lang w:val="en-GB"/>
        </w:rPr>
        <w:tab/>
      </w:r>
      <w:r w:rsidRPr="00A0444D">
        <w:rPr>
          <w:rFonts w:ascii="Times New Roman" w:hAnsi="Times New Roman"/>
          <w:b/>
          <w:snapToGrid w:val="0"/>
          <w:sz w:val="20"/>
          <w:szCs w:val="20"/>
          <w:lang w:val="en-GB"/>
        </w:rPr>
        <w:tab/>
        <w:t xml:space="preserve">       </w:t>
      </w:r>
    </w:p>
    <w:p w:rsidR="00C273A1" w:rsidRDefault="00C273A1" w:rsidP="002B1E64">
      <w:pPr>
        <w:spacing w:after="0" w:line="240" w:lineRule="auto"/>
        <w:ind w:right="113"/>
        <w:jc w:val="both"/>
        <w:rPr>
          <w:rFonts w:ascii="Times New Roman" w:hAnsi="Times New Roman"/>
          <w:snapToGrid w:val="0"/>
          <w:sz w:val="20"/>
          <w:szCs w:val="20"/>
          <w:lang w:val="en-GB"/>
        </w:rPr>
      </w:pPr>
      <w:r>
        <w:rPr>
          <w:rFonts w:ascii="Times New Roman" w:hAnsi="Times New Roman"/>
          <w:snapToGrid w:val="0"/>
          <w:sz w:val="20"/>
          <w:szCs w:val="20"/>
          <w:lang w:val="en-GB"/>
        </w:rPr>
        <w:t xml:space="preserve">Table 4 – Matrix </w:t>
      </w:r>
      <w:r w:rsidRPr="00711C2F">
        <w:rPr>
          <w:rFonts w:ascii="Times New Roman" w:hAnsi="Times New Roman"/>
          <w:b/>
          <w:snapToGrid w:val="0"/>
          <w:sz w:val="20"/>
          <w:szCs w:val="20"/>
          <w:lang w:val="en-GB"/>
        </w:rPr>
        <w:t>S</w:t>
      </w:r>
    </w:p>
    <w:p w:rsidR="00C273A1" w:rsidRDefault="00C273A1" w:rsidP="002B1E64">
      <w:pPr>
        <w:spacing w:after="0" w:line="240" w:lineRule="auto"/>
        <w:ind w:right="113"/>
        <w:jc w:val="both"/>
        <w:rPr>
          <w:rFonts w:ascii="Times New Roman" w:hAnsi="Times New Roman"/>
          <w:snapToGrid w:val="0"/>
          <w:sz w:val="20"/>
          <w:szCs w:val="20"/>
          <w:lang w:val="en-GB"/>
        </w:rPr>
      </w:pPr>
    </w:p>
    <w:tbl>
      <w:tblPr>
        <w:tblpPr w:leftFromText="141" w:rightFromText="141" w:vertAnchor="page" w:horzAnchor="margin" w:tblpY="5748"/>
        <w:tblW w:w="0" w:type="auto"/>
        <w:tblLook w:val="01E0" w:firstRow="1" w:lastRow="1" w:firstColumn="1" w:lastColumn="1" w:noHBand="0" w:noVBand="0"/>
      </w:tblPr>
      <w:tblGrid>
        <w:gridCol w:w="884"/>
        <w:gridCol w:w="771"/>
        <w:gridCol w:w="736"/>
        <w:gridCol w:w="920"/>
        <w:gridCol w:w="736"/>
        <w:gridCol w:w="736"/>
        <w:gridCol w:w="736"/>
      </w:tblGrid>
      <w:tr w:rsidR="00C273A1" w:rsidRPr="00A0444D" w:rsidTr="000D094B">
        <w:trPr>
          <w:trHeight w:val="20"/>
        </w:trPr>
        <w:tc>
          <w:tcPr>
            <w:tcW w:w="884" w:type="dxa"/>
            <w:tcBorders>
              <w:right w:val="single" w:sz="4" w:space="0" w:color="auto"/>
            </w:tcBorders>
          </w:tcPr>
          <w:p w:rsidR="00C273A1" w:rsidRPr="00A0444D" w:rsidRDefault="00C273A1" w:rsidP="000D094B">
            <w:pPr>
              <w:ind w:right="113"/>
              <w:jc w:val="both"/>
              <w:rPr>
                <w:rFonts w:ascii="Times New Roman" w:hAnsi="Times New Roman"/>
                <w:snapToGrid w:val="0"/>
                <w:sz w:val="20"/>
                <w:szCs w:val="20"/>
                <w:lang w:val="en-GB"/>
              </w:rPr>
            </w:pPr>
          </w:p>
        </w:tc>
        <w:tc>
          <w:tcPr>
            <w:tcW w:w="771" w:type="dxa"/>
            <w:tcBorders>
              <w:left w:val="single" w:sz="4" w:space="0" w:color="auto"/>
            </w:tcBorders>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position w:val="-10"/>
                <w:sz w:val="20"/>
                <w:szCs w:val="20"/>
                <w:lang w:val="en-GB"/>
              </w:rPr>
              <w:object w:dxaOrig="220" w:dyaOrig="340">
                <v:shape id="_x0000_i1028" type="#_x0000_t75" style="width:8.25pt;height:14.25pt" o:ole="">
                  <v:imagedata r:id="rId13" o:title=""/>
                </v:shape>
                <o:OLEObject Type="Embed" ProgID="Equation.3" ShapeID="_x0000_i1028" DrawAspect="Content" ObjectID="_1569244116" r:id="rId14"/>
              </w:object>
            </w:r>
          </w:p>
        </w:tc>
        <w:tc>
          <w:tcPr>
            <w:tcW w:w="736" w:type="dxa"/>
          </w:tcPr>
          <w:p w:rsidR="00C273A1" w:rsidRPr="00A0444D" w:rsidRDefault="00C273A1" w:rsidP="000D094B">
            <w:pPr>
              <w:ind w:right="113"/>
              <w:jc w:val="both"/>
              <w:rPr>
                <w:rFonts w:ascii="Times New Roman" w:hAnsi="Times New Roman"/>
                <w:snapToGrid w:val="0"/>
                <w:sz w:val="20"/>
                <w:szCs w:val="20"/>
                <w:highlight w:val="yellow"/>
                <w:lang w:val="en-GB"/>
              </w:rPr>
            </w:pPr>
            <w:r w:rsidRPr="00A0444D">
              <w:rPr>
                <w:rFonts w:ascii="Times New Roman" w:hAnsi="Times New Roman"/>
                <w:snapToGrid w:val="0"/>
                <w:position w:val="-10"/>
                <w:sz w:val="20"/>
                <w:szCs w:val="20"/>
                <w:lang w:val="en-GB"/>
              </w:rPr>
              <w:object w:dxaOrig="240" w:dyaOrig="340">
                <v:shape id="_x0000_i1029" type="#_x0000_t75" style="width:14.25pt;height:14.25pt" o:ole="">
                  <v:imagedata r:id="rId15" o:title=""/>
                </v:shape>
                <o:OLEObject Type="Embed" ProgID="Equation.3" ShapeID="_x0000_i1029" DrawAspect="Content" ObjectID="_1569244117" r:id="rId16"/>
              </w:object>
            </w:r>
          </w:p>
        </w:tc>
        <w:tc>
          <w:tcPr>
            <w:tcW w:w="92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c>
          <w:tcPr>
            <w:tcW w:w="736"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position w:val="-10"/>
                <w:sz w:val="20"/>
                <w:szCs w:val="20"/>
                <w:lang w:val="en-GB"/>
              </w:rPr>
              <w:object w:dxaOrig="279" w:dyaOrig="340">
                <v:shape id="_x0000_i1030" type="#_x0000_t75" style="width:14.25pt;height:14.25pt" o:ole="">
                  <v:imagedata r:id="rId17" o:title=""/>
                </v:shape>
                <o:OLEObject Type="Embed" ProgID="Equation.3" ShapeID="_x0000_i1030" DrawAspect="Content" ObjectID="_1569244118" r:id="rId18"/>
              </w:object>
            </w:r>
          </w:p>
        </w:tc>
        <w:tc>
          <w:tcPr>
            <w:tcW w:w="736"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c>
          <w:tcPr>
            <w:tcW w:w="736" w:type="dxa"/>
            <w:tcBorders>
              <w:right w:val="single" w:sz="4" w:space="0" w:color="auto"/>
            </w:tcBorders>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position w:val="-10"/>
                <w:sz w:val="20"/>
                <w:szCs w:val="20"/>
                <w:lang w:val="en-GB"/>
              </w:rPr>
              <w:object w:dxaOrig="279" w:dyaOrig="340">
                <v:shape id="_x0000_i1031" type="#_x0000_t75" style="width:14.25pt;height:14.25pt" o:ole="">
                  <v:imagedata r:id="rId19" o:title=""/>
                </v:shape>
                <o:OLEObject Type="Embed" ProgID="Equation.3" ShapeID="_x0000_i1031" DrawAspect="Content" ObjectID="_1569244119" r:id="rId20"/>
              </w:object>
            </w:r>
          </w:p>
        </w:tc>
      </w:tr>
      <w:tr w:rsidR="00C273A1" w:rsidRPr="00A0444D" w:rsidTr="000D094B">
        <w:trPr>
          <w:trHeight w:val="489"/>
        </w:trPr>
        <w:tc>
          <w:tcPr>
            <w:tcW w:w="884" w:type="dxa"/>
            <w:tcBorders>
              <w:right w:val="single" w:sz="4" w:space="0" w:color="auto"/>
            </w:tcBorders>
          </w:tcPr>
          <w:p w:rsidR="00C273A1" w:rsidRPr="00A0444D" w:rsidRDefault="00C273A1" w:rsidP="000D094B">
            <w:pPr>
              <w:ind w:right="113"/>
              <w:jc w:val="both"/>
              <w:rPr>
                <w:rFonts w:ascii="Times New Roman" w:hAnsi="Times New Roman"/>
                <w:snapToGrid w:val="0"/>
                <w:sz w:val="20"/>
                <w:szCs w:val="20"/>
                <w:lang w:val="en-GB"/>
              </w:rPr>
            </w:pPr>
          </w:p>
        </w:tc>
        <w:tc>
          <w:tcPr>
            <w:tcW w:w="771" w:type="dxa"/>
            <w:tcBorders>
              <w:left w:val="single" w:sz="4" w:space="0" w:color="auto"/>
            </w:tcBorders>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position w:val="-10"/>
                <w:sz w:val="20"/>
                <w:szCs w:val="20"/>
                <w:lang w:val="en-GB"/>
              </w:rPr>
              <w:object w:dxaOrig="240" w:dyaOrig="340">
                <v:shape id="_x0000_i1032" type="#_x0000_t75" style="width:14.25pt;height:14.25pt" o:ole="">
                  <v:imagedata r:id="rId21" o:title=""/>
                </v:shape>
                <o:OLEObject Type="Embed" ProgID="Equation.3" ShapeID="_x0000_i1032" DrawAspect="Content" ObjectID="_1569244120" r:id="rId22"/>
              </w:object>
            </w:r>
          </w:p>
        </w:tc>
        <w:tc>
          <w:tcPr>
            <w:tcW w:w="736"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position w:val="-10"/>
                <w:sz w:val="20"/>
                <w:szCs w:val="20"/>
                <w:lang w:val="en-GB"/>
              </w:rPr>
              <w:object w:dxaOrig="240" w:dyaOrig="340">
                <v:shape id="_x0000_i1033" type="#_x0000_t75" style="width:14.25pt;height:14.25pt" o:ole="">
                  <v:imagedata r:id="rId23" o:title=""/>
                </v:shape>
                <o:OLEObject Type="Embed" ProgID="Equation.3" ShapeID="_x0000_i1033" DrawAspect="Content" ObjectID="_1569244121" r:id="rId24"/>
              </w:object>
            </w:r>
          </w:p>
        </w:tc>
        <w:tc>
          <w:tcPr>
            <w:tcW w:w="92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c>
          <w:tcPr>
            <w:tcW w:w="736"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position w:val="-10"/>
                <w:sz w:val="20"/>
                <w:szCs w:val="20"/>
                <w:lang w:val="en-GB"/>
              </w:rPr>
              <w:object w:dxaOrig="279" w:dyaOrig="340">
                <v:shape id="_x0000_i1034" type="#_x0000_t75" style="width:14.25pt;height:14.25pt" o:ole="">
                  <v:imagedata r:id="rId25" o:title=""/>
                </v:shape>
                <o:OLEObject Type="Embed" ProgID="Equation.3" ShapeID="_x0000_i1034" DrawAspect="Content" ObjectID="_1569244122" r:id="rId26"/>
              </w:object>
            </w:r>
          </w:p>
        </w:tc>
        <w:tc>
          <w:tcPr>
            <w:tcW w:w="736"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c>
          <w:tcPr>
            <w:tcW w:w="736" w:type="dxa"/>
            <w:tcBorders>
              <w:right w:val="single" w:sz="4" w:space="0" w:color="auto"/>
            </w:tcBorders>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position w:val="-10"/>
                <w:sz w:val="20"/>
                <w:szCs w:val="20"/>
                <w:lang w:val="en-GB"/>
              </w:rPr>
              <w:object w:dxaOrig="279" w:dyaOrig="340">
                <v:shape id="_x0000_i1035" type="#_x0000_t75" style="width:14.25pt;height:14.25pt" o:ole="">
                  <v:imagedata r:id="rId27" o:title=""/>
                </v:shape>
                <o:OLEObject Type="Embed" ProgID="Equation.3" ShapeID="_x0000_i1035" DrawAspect="Content" ObjectID="_1569244123" r:id="rId28"/>
              </w:object>
            </w:r>
          </w:p>
        </w:tc>
      </w:tr>
      <w:tr w:rsidR="00C273A1" w:rsidRPr="00A0444D" w:rsidTr="000D094B">
        <w:trPr>
          <w:trHeight w:val="456"/>
        </w:trPr>
        <w:tc>
          <w:tcPr>
            <w:tcW w:w="884" w:type="dxa"/>
            <w:tcBorders>
              <w:right w:val="single" w:sz="4" w:space="0" w:color="auto"/>
            </w:tcBorders>
          </w:tcPr>
          <w:p w:rsidR="00C273A1" w:rsidRPr="00A0444D" w:rsidRDefault="00C273A1" w:rsidP="000D094B">
            <w:pPr>
              <w:ind w:right="113"/>
              <w:jc w:val="both"/>
              <w:rPr>
                <w:rFonts w:ascii="Times New Roman" w:hAnsi="Times New Roman"/>
                <w:snapToGrid w:val="0"/>
                <w:sz w:val="20"/>
                <w:szCs w:val="20"/>
                <w:lang w:val="en-GB"/>
              </w:rPr>
            </w:pPr>
          </w:p>
        </w:tc>
        <w:tc>
          <w:tcPr>
            <w:tcW w:w="771" w:type="dxa"/>
            <w:tcBorders>
              <w:left w:val="single" w:sz="4" w:space="0" w:color="auto"/>
            </w:tcBorders>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w:t>
            </w:r>
          </w:p>
        </w:tc>
        <w:tc>
          <w:tcPr>
            <w:tcW w:w="736"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w:t>
            </w:r>
          </w:p>
        </w:tc>
        <w:tc>
          <w:tcPr>
            <w:tcW w:w="92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c>
          <w:tcPr>
            <w:tcW w:w="736"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c>
          <w:tcPr>
            <w:tcW w:w="736"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c>
          <w:tcPr>
            <w:tcW w:w="736" w:type="dxa"/>
            <w:tcBorders>
              <w:right w:val="single" w:sz="4" w:space="0" w:color="auto"/>
            </w:tcBorders>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r>
      <w:tr w:rsidR="00C273A1" w:rsidRPr="00A0444D" w:rsidTr="000D094B">
        <w:trPr>
          <w:trHeight w:val="557"/>
        </w:trPr>
        <w:tc>
          <w:tcPr>
            <w:tcW w:w="884" w:type="dxa"/>
            <w:tcBorders>
              <w:right w:val="single" w:sz="4" w:space="0" w:color="auto"/>
            </w:tcBorders>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w:t>
            </w:r>
            <w:r w:rsidRPr="00A0444D">
              <w:rPr>
                <w:rFonts w:ascii="Times New Roman" w:hAnsi="Times New Roman"/>
                <w:b/>
                <w:snapToGrid w:val="0"/>
                <w:sz w:val="20"/>
                <w:szCs w:val="20"/>
                <w:lang w:val="en-GB"/>
              </w:rPr>
              <w:t>S</w:t>
            </w:r>
            <w:r w:rsidRPr="00A0444D">
              <w:rPr>
                <w:rFonts w:ascii="Times New Roman" w:hAnsi="Times New Roman"/>
                <w:snapToGrid w:val="0"/>
                <w:sz w:val="20"/>
                <w:szCs w:val="20"/>
                <w:lang w:val="en-GB"/>
              </w:rPr>
              <w:t>=</w:t>
            </w:r>
          </w:p>
        </w:tc>
        <w:tc>
          <w:tcPr>
            <w:tcW w:w="771" w:type="dxa"/>
            <w:tcBorders>
              <w:left w:val="single" w:sz="4" w:space="0" w:color="auto"/>
            </w:tcBorders>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position w:val="-10"/>
                <w:sz w:val="20"/>
                <w:szCs w:val="20"/>
                <w:lang w:val="en-GB"/>
              </w:rPr>
              <w:object w:dxaOrig="240" w:dyaOrig="340">
                <v:shape id="_x0000_i1036" type="#_x0000_t75" style="width:14.25pt;height:14.25pt" o:ole="">
                  <v:imagedata r:id="rId29" o:title=""/>
                </v:shape>
                <o:OLEObject Type="Embed" ProgID="Equation.3" ShapeID="_x0000_i1036" DrawAspect="Content" ObjectID="_1569244124" r:id="rId30"/>
              </w:object>
            </w:r>
          </w:p>
        </w:tc>
        <w:tc>
          <w:tcPr>
            <w:tcW w:w="736"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position w:val="-10"/>
                <w:sz w:val="20"/>
                <w:szCs w:val="20"/>
                <w:lang w:val="en-GB"/>
              </w:rPr>
              <w:object w:dxaOrig="240" w:dyaOrig="340">
                <v:shape id="_x0000_i1037" type="#_x0000_t75" style="width:14.25pt;height:14.25pt" o:ole="">
                  <v:imagedata r:id="rId31" o:title=""/>
                </v:shape>
                <o:OLEObject Type="Embed" ProgID="Equation.3" ShapeID="_x0000_i1037" DrawAspect="Content" ObjectID="_1569244125" r:id="rId32"/>
              </w:object>
            </w:r>
          </w:p>
        </w:tc>
        <w:tc>
          <w:tcPr>
            <w:tcW w:w="92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c>
          <w:tcPr>
            <w:tcW w:w="736"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position w:val="-12"/>
                <w:sz w:val="20"/>
                <w:szCs w:val="20"/>
                <w:lang w:val="en-GB"/>
              </w:rPr>
              <w:object w:dxaOrig="279" w:dyaOrig="360">
                <v:shape id="_x0000_i1038" type="#_x0000_t75" style="width:14.25pt;height:21pt" o:ole="">
                  <v:imagedata r:id="rId33" o:title=""/>
                </v:shape>
                <o:OLEObject Type="Embed" ProgID="Equation.3" ShapeID="_x0000_i1038" DrawAspect="Content" ObjectID="_1569244126" r:id="rId34"/>
              </w:object>
            </w:r>
          </w:p>
        </w:tc>
        <w:tc>
          <w:tcPr>
            <w:tcW w:w="736"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c>
          <w:tcPr>
            <w:tcW w:w="736" w:type="dxa"/>
            <w:tcBorders>
              <w:right w:val="single" w:sz="4" w:space="0" w:color="auto"/>
            </w:tcBorders>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position w:val="-10"/>
                <w:sz w:val="20"/>
                <w:szCs w:val="20"/>
                <w:lang w:val="en-GB"/>
              </w:rPr>
              <w:object w:dxaOrig="279" w:dyaOrig="340">
                <v:shape id="_x0000_i1039" type="#_x0000_t75" style="width:14.25pt;height:14.25pt" o:ole="">
                  <v:imagedata r:id="rId35" o:title=""/>
                </v:shape>
                <o:OLEObject Type="Embed" ProgID="Equation.3" ShapeID="_x0000_i1039" DrawAspect="Content" ObjectID="_1569244127" r:id="rId36"/>
              </w:object>
            </w:r>
          </w:p>
        </w:tc>
      </w:tr>
      <w:tr w:rsidR="00C273A1" w:rsidRPr="00A0444D" w:rsidTr="000D094B">
        <w:trPr>
          <w:trHeight w:val="456"/>
        </w:trPr>
        <w:tc>
          <w:tcPr>
            <w:tcW w:w="884" w:type="dxa"/>
            <w:tcBorders>
              <w:right w:val="single" w:sz="4" w:space="0" w:color="auto"/>
            </w:tcBorders>
          </w:tcPr>
          <w:p w:rsidR="00C273A1" w:rsidRPr="00A0444D" w:rsidRDefault="00C273A1" w:rsidP="000D094B">
            <w:pPr>
              <w:ind w:right="113"/>
              <w:jc w:val="both"/>
              <w:rPr>
                <w:rFonts w:ascii="Times New Roman" w:hAnsi="Times New Roman"/>
                <w:snapToGrid w:val="0"/>
                <w:sz w:val="20"/>
                <w:szCs w:val="20"/>
                <w:lang w:val="en-GB"/>
              </w:rPr>
            </w:pPr>
          </w:p>
        </w:tc>
        <w:tc>
          <w:tcPr>
            <w:tcW w:w="771" w:type="dxa"/>
            <w:tcBorders>
              <w:left w:val="single" w:sz="4" w:space="0" w:color="auto"/>
            </w:tcBorders>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w:t>
            </w:r>
          </w:p>
        </w:tc>
        <w:tc>
          <w:tcPr>
            <w:tcW w:w="736"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 ….</w:t>
            </w:r>
          </w:p>
        </w:tc>
        <w:tc>
          <w:tcPr>
            <w:tcW w:w="92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c>
          <w:tcPr>
            <w:tcW w:w="736"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c>
          <w:tcPr>
            <w:tcW w:w="736"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c>
          <w:tcPr>
            <w:tcW w:w="736" w:type="dxa"/>
            <w:tcBorders>
              <w:right w:val="single" w:sz="4" w:space="0" w:color="auto"/>
            </w:tcBorders>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r>
      <w:tr w:rsidR="00C273A1" w:rsidRPr="00A0444D" w:rsidTr="000D094B">
        <w:trPr>
          <w:trHeight w:val="536"/>
        </w:trPr>
        <w:tc>
          <w:tcPr>
            <w:tcW w:w="884" w:type="dxa"/>
            <w:tcBorders>
              <w:right w:val="single" w:sz="4" w:space="0" w:color="auto"/>
            </w:tcBorders>
          </w:tcPr>
          <w:p w:rsidR="00C273A1" w:rsidRPr="00A0444D" w:rsidRDefault="00C273A1" w:rsidP="000D094B">
            <w:pPr>
              <w:ind w:right="113"/>
              <w:jc w:val="both"/>
              <w:rPr>
                <w:rFonts w:ascii="Times New Roman" w:hAnsi="Times New Roman"/>
                <w:snapToGrid w:val="0"/>
                <w:sz w:val="20"/>
                <w:szCs w:val="20"/>
                <w:lang w:val="en-GB"/>
              </w:rPr>
            </w:pPr>
          </w:p>
        </w:tc>
        <w:tc>
          <w:tcPr>
            <w:tcW w:w="771" w:type="dxa"/>
            <w:tcBorders>
              <w:left w:val="single" w:sz="4" w:space="0" w:color="auto"/>
            </w:tcBorders>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position w:val="-10"/>
                <w:sz w:val="20"/>
                <w:szCs w:val="20"/>
                <w:lang w:val="en-GB"/>
              </w:rPr>
              <w:object w:dxaOrig="279" w:dyaOrig="340">
                <v:shape id="_x0000_i1040" type="#_x0000_t75" style="width:14.25pt;height:14.25pt" o:ole="">
                  <v:imagedata r:id="rId37" o:title=""/>
                </v:shape>
                <o:OLEObject Type="Embed" ProgID="Equation.3" ShapeID="_x0000_i1040" DrawAspect="Content" ObjectID="_1569244128" r:id="rId38"/>
              </w:object>
            </w:r>
          </w:p>
        </w:tc>
        <w:tc>
          <w:tcPr>
            <w:tcW w:w="736"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position w:val="-10"/>
                <w:sz w:val="20"/>
                <w:szCs w:val="20"/>
                <w:lang w:val="en-GB"/>
              </w:rPr>
              <w:object w:dxaOrig="279" w:dyaOrig="340">
                <v:shape id="_x0000_i1041" type="#_x0000_t75" style="width:14.25pt;height:14.25pt" o:ole="">
                  <v:imagedata r:id="rId39" o:title=""/>
                </v:shape>
                <o:OLEObject Type="Embed" ProgID="Equation.3" ShapeID="_x0000_i1041" DrawAspect="Content" ObjectID="_1569244129" r:id="rId40"/>
              </w:object>
            </w:r>
          </w:p>
        </w:tc>
        <w:tc>
          <w:tcPr>
            <w:tcW w:w="920"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c>
          <w:tcPr>
            <w:tcW w:w="736"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position w:val="-10"/>
                <w:sz w:val="20"/>
                <w:szCs w:val="20"/>
                <w:lang w:val="en-GB"/>
              </w:rPr>
              <w:object w:dxaOrig="279" w:dyaOrig="340">
                <v:shape id="_x0000_i1042" type="#_x0000_t75" style="width:14.25pt;height:14.25pt" o:ole="">
                  <v:imagedata r:id="rId41" o:title=""/>
                </v:shape>
                <o:OLEObject Type="Embed" ProgID="Equation.3" ShapeID="_x0000_i1042" DrawAspect="Content" ObjectID="_1569244130" r:id="rId42"/>
              </w:object>
            </w:r>
          </w:p>
        </w:tc>
        <w:tc>
          <w:tcPr>
            <w:tcW w:w="736" w:type="dxa"/>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w:t>
            </w:r>
          </w:p>
        </w:tc>
        <w:tc>
          <w:tcPr>
            <w:tcW w:w="736" w:type="dxa"/>
            <w:tcBorders>
              <w:right w:val="single" w:sz="4" w:space="0" w:color="auto"/>
            </w:tcBorders>
          </w:tcPr>
          <w:p w:rsidR="00C273A1" w:rsidRPr="00A0444D" w:rsidRDefault="00C273A1" w:rsidP="000D094B">
            <w:pPr>
              <w:ind w:right="113"/>
              <w:jc w:val="both"/>
              <w:rPr>
                <w:rFonts w:ascii="Times New Roman" w:hAnsi="Times New Roman"/>
                <w:snapToGrid w:val="0"/>
                <w:sz w:val="20"/>
                <w:szCs w:val="20"/>
                <w:lang w:val="en-GB"/>
              </w:rPr>
            </w:pPr>
            <w:r w:rsidRPr="00A0444D">
              <w:rPr>
                <w:rFonts w:ascii="Times New Roman" w:hAnsi="Times New Roman"/>
                <w:snapToGrid w:val="0"/>
                <w:position w:val="-10"/>
                <w:sz w:val="20"/>
                <w:szCs w:val="20"/>
                <w:lang w:val="en-GB"/>
              </w:rPr>
              <w:object w:dxaOrig="279" w:dyaOrig="340">
                <v:shape id="_x0000_i1043" type="#_x0000_t75" style="width:14.25pt;height:14.25pt" o:ole="">
                  <v:imagedata r:id="rId43" o:title=""/>
                </v:shape>
                <o:OLEObject Type="Embed" ProgID="Equation.3" ShapeID="_x0000_i1043" DrawAspect="Content" ObjectID="_1569244131" r:id="rId44"/>
              </w:object>
            </w:r>
          </w:p>
        </w:tc>
      </w:tr>
    </w:tbl>
    <w:p w:rsidR="00C273A1" w:rsidRDefault="00C273A1" w:rsidP="002B1E64">
      <w:pPr>
        <w:spacing w:after="0" w:line="240" w:lineRule="auto"/>
        <w:ind w:right="113"/>
        <w:jc w:val="both"/>
        <w:rPr>
          <w:rFonts w:ascii="Times New Roman" w:hAnsi="Times New Roman"/>
          <w:snapToGrid w:val="0"/>
          <w:sz w:val="20"/>
          <w:szCs w:val="20"/>
          <w:lang w:val="en-GB"/>
        </w:rPr>
      </w:pPr>
    </w:p>
    <w:p w:rsidR="00C273A1" w:rsidRDefault="00C273A1" w:rsidP="002B1E64">
      <w:pPr>
        <w:spacing w:after="0" w:line="240" w:lineRule="auto"/>
        <w:ind w:right="113"/>
        <w:jc w:val="both"/>
        <w:rPr>
          <w:rFonts w:ascii="Times New Roman" w:hAnsi="Times New Roman"/>
          <w:snapToGrid w:val="0"/>
          <w:sz w:val="20"/>
          <w:szCs w:val="20"/>
          <w:lang w:val="en-GB"/>
        </w:rPr>
      </w:pPr>
    </w:p>
    <w:p w:rsidR="00C273A1" w:rsidRDefault="00C273A1" w:rsidP="002B1E64">
      <w:pPr>
        <w:spacing w:after="0" w:line="240" w:lineRule="auto"/>
        <w:ind w:right="113"/>
        <w:jc w:val="both"/>
        <w:rPr>
          <w:rFonts w:ascii="Times New Roman" w:hAnsi="Times New Roman"/>
          <w:snapToGrid w:val="0"/>
          <w:sz w:val="20"/>
          <w:szCs w:val="20"/>
          <w:lang w:val="en-GB"/>
        </w:rPr>
      </w:pPr>
    </w:p>
    <w:p w:rsidR="00C273A1" w:rsidRDefault="00C273A1" w:rsidP="002B1E64">
      <w:pPr>
        <w:spacing w:after="0" w:line="240" w:lineRule="auto"/>
        <w:ind w:right="113"/>
        <w:jc w:val="both"/>
        <w:rPr>
          <w:rFonts w:ascii="Times New Roman" w:hAnsi="Times New Roman"/>
          <w:snapToGrid w:val="0"/>
          <w:sz w:val="20"/>
          <w:szCs w:val="20"/>
          <w:lang w:val="en-GB"/>
        </w:rPr>
      </w:pPr>
    </w:p>
    <w:p w:rsidR="00C273A1" w:rsidRDefault="00C273A1" w:rsidP="002B1E64">
      <w:pPr>
        <w:spacing w:after="0" w:line="240" w:lineRule="auto"/>
        <w:ind w:right="113"/>
        <w:jc w:val="both"/>
        <w:rPr>
          <w:rFonts w:ascii="Times New Roman" w:hAnsi="Times New Roman"/>
          <w:snapToGrid w:val="0"/>
          <w:sz w:val="20"/>
          <w:szCs w:val="20"/>
          <w:lang w:val="en-GB"/>
        </w:rPr>
      </w:pPr>
    </w:p>
    <w:p w:rsidR="00C273A1" w:rsidRDefault="00C273A1" w:rsidP="002B1E64">
      <w:pPr>
        <w:spacing w:after="0" w:line="240" w:lineRule="auto"/>
        <w:ind w:right="113"/>
        <w:jc w:val="both"/>
        <w:rPr>
          <w:rFonts w:ascii="Times New Roman" w:hAnsi="Times New Roman"/>
          <w:snapToGrid w:val="0"/>
          <w:sz w:val="20"/>
          <w:szCs w:val="20"/>
          <w:lang w:val="en-GB"/>
        </w:rPr>
      </w:pPr>
    </w:p>
    <w:p w:rsidR="00C273A1" w:rsidRDefault="00C273A1" w:rsidP="002B1E64">
      <w:pPr>
        <w:spacing w:after="0" w:line="240" w:lineRule="auto"/>
        <w:ind w:right="113"/>
        <w:jc w:val="both"/>
        <w:rPr>
          <w:rFonts w:ascii="Times New Roman" w:hAnsi="Times New Roman"/>
          <w:snapToGrid w:val="0"/>
          <w:sz w:val="20"/>
          <w:szCs w:val="20"/>
          <w:lang w:val="en-GB"/>
        </w:rPr>
      </w:pPr>
    </w:p>
    <w:p w:rsidR="00C273A1" w:rsidRDefault="00C273A1" w:rsidP="002B1E64">
      <w:pPr>
        <w:spacing w:after="0" w:line="240" w:lineRule="auto"/>
        <w:ind w:right="113"/>
        <w:jc w:val="both"/>
        <w:rPr>
          <w:rFonts w:ascii="Times New Roman" w:hAnsi="Times New Roman"/>
          <w:snapToGrid w:val="0"/>
          <w:sz w:val="20"/>
          <w:szCs w:val="20"/>
          <w:lang w:val="en-GB"/>
        </w:rPr>
      </w:pPr>
    </w:p>
    <w:p w:rsidR="00C273A1" w:rsidRDefault="00C273A1" w:rsidP="002B1E64">
      <w:pPr>
        <w:spacing w:after="0" w:line="240" w:lineRule="auto"/>
        <w:ind w:right="113"/>
        <w:jc w:val="both"/>
        <w:rPr>
          <w:rFonts w:ascii="Times New Roman" w:hAnsi="Times New Roman"/>
          <w:snapToGrid w:val="0"/>
          <w:sz w:val="20"/>
          <w:szCs w:val="20"/>
          <w:lang w:val="en-GB"/>
        </w:rPr>
      </w:pPr>
    </w:p>
    <w:p w:rsidR="00C273A1" w:rsidRDefault="00C273A1" w:rsidP="002B1E64">
      <w:pPr>
        <w:spacing w:after="0" w:line="240" w:lineRule="auto"/>
        <w:ind w:right="113"/>
        <w:jc w:val="both"/>
        <w:rPr>
          <w:rFonts w:ascii="Times New Roman" w:hAnsi="Times New Roman"/>
          <w:snapToGrid w:val="0"/>
          <w:sz w:val="20"/>
          <w:szCs w:val="20"/>
          <w:lang w:val="en-GB"/>
        </w:rPr>
      </w:pPr>
    </w:p>
    <w:p w:rsidR="00C273A1" w:rsidRDefault="00C273A1" w:rsidP="002B1E64">
      <w:pPr>
        <w:spacing w:after="0" w:line="240" w:lineRule="auto"/>
        <w:ind w:right="113"/>
        <w:jc w:val="both"/>
        <w:rPr>
          <w:rFonts w:ascii="Times New Roman" w:hAnsi="Times New Roman"/>
          <w:snapToGrid w:val="0"/>
          <w:sz w:val="20"/>
          <w:szCs w:val="20"/>
          <w:lang w:val="en-GB"/>
        </w:rPr>
      </w:pPr>
    </w:p>
    <w:p w:rsidR="00C273A1" w:rsidRDefault="00C273A1" w:rsidP="002B1E64">
      <w:pPr>
        <w:spacing w:after="0" w:line="240" w:lineRule="auto"/>
        <w:ind w:right="113"/>
        <w:jc w:val="both"/>
        <w:rPr>
          <w:rFonts w:ascii="Times New Roman" w:hAnsi="Times New Roman"/>
          <w:snapToGrid w:val="0"/>
          <w:sz w:val="20"/>
          <w:szCs w:val="20"/>
          <w:lang w:val="en-GB"/>
        </w:rPr>
      </w:pPr>
    </w:p>
    <w:p w:rsidR="00C273A1" w:rsidRDefault="00C273A1" w:rsidP="002B1E64">
      <w:pPr>
        <w:spacing w:after="0" w:line="240" w:lineRule="auto"/>
        <w:ind w:right="113"/>
        <w:jc w:val="both"/>
        <w:rPr>
          <w:rFonts w:ascii="Times New Roman" w:hAnsi="Times New Roman"/>
          <w:snapToGrid w:val="0"/>
          <w:sz w:val="20"/>
          <w:szCs w:val="20"/>
          <w:lang w:val="en-GB"/>
        </w:rPr>
      </w:pPr>
    </w:p>
    <w:p w:rsidR="00C273A1" w:rsidRDefault="00C273A1" w:rsidP="002B1E64">
      <w:pPr>
        <w:spacing w:after="0" w:line="240" w:lineRule="auto"/>
        <w:ind w:right="113"/>
        <w:jc w:val="both"/>
        <w:rPr>
          <w:rFonts w:ascii="Times New Roman" w:hAnsi="Times New Roman"/>
          <w:snapToGrid w:val="0"/>
          <w:sz w:val="20"/>
          <w:szCs w:val="20"/>
          <w:lang w:val="en-GB"/>
        </w:rPr>
      </w:pPr>
    </w:p>
    <w:p w:rsidR="00C273A1" w:rsidRDefault="00C273A1" w:rsidP="002B1E64">
      <w:pPr>
        <w:spacing w:after="0" w:line="240" w:lineRule="auto"/>
        <w:ind w:right="113"/>
        <w:jc w:val="both"/>
        <w:rPr>
          <w:rFonts w:ascii="Times New Roman" w:hAnsi="Times New Roman"/>
          <w:snapToGrid w:val="0"/>
          <w:sz w:val="20"/>
          <w:szCs w:val="20"/>
          <w:lang w:val="en-GB"/>
        </w:rPr>
      </w:pPr>
    </w:p>
    <w:p w:rsidR="00C273A1" w:rsidRPr="005948E5" w:rsidRDefault="00C273A1" w:rsidP="002B1E64">
      <w:pPr>
        <w:spacing w:after="0" w:line="240" w:lineRule="auto"/>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The matrix </w:t>
      </w:r>
      <w:r w:rsidRPr="00A0444D">
        <w:rPr>
          <w:rFonts w:ascii="Times New Roman" w:hAnsi="Times New Roman"/>
          <w:b/>
          <w:snapToGrid w:val="0"/>
          <w:sz w:val="20"/>
          <w:szCs w:val="20"/>
          <w:lang w:val="en-GB"/>
        </w:rPr>
        <w:t>Y</w:t>
      </w:r>
      <w:r w:rsidRPr="00A0444D">
        <w:rPr>
          <w:rFonts w:ascii="Times New Roman" w:hAnsi="Times New Roman"/>
          <w:snapToGrid w:val="0"/>
          <w:sz w:val="20"/>
          <w:szCs w:val="20"/>
          <w:lang w:val="en-GB"/>
        </w:rPr>
        <w:t xml:space="preserve"> is a block diagonal matrix whose elements are the total amount of value added earned by different factors of production (dependent workers, independent workers, physical capital and so on)</w:t>
      </w:r>
      <w:r>
        <w:rPr>
          <w:rFonts w:ascii="Times New Roman" w:hAnsi="Times New Roman"/>
          <w:snapToGrid w:val="0"/>
          <w:sz w:val="20"/>
          <w:szCs w:val="20"/>
          <w:lang w:val="en-GB"/>
        </w:rPr>
        <w:t xml:space="preserve">. </w:t>
      </w:r>
      <w:r w:rsidRPr="005948E5">
        <w:rPr>
          <w:rFonts w:ascii="Times New Roman" w:hAnsi="Times New Roman"/>
          <w:snapToGrid w:val="0"/>
          <w:sz w:val="20"/>
          <w:szCs w:val="20"/>
          <w:lang w:val="en-GB"/>
        </w:rPr>
        <w:t xml:space="preserve">The values of </w:t>
      </w:r>
      <w:r w:rsidRPr="005948E5">
        <w:rPr>
          <w:rFonts w:ascii="Times New Roman" w:hAnsi="Times New Roman"/>
          <w:b/>
          <w:snapToGrid w:val="0"/>
          <w:sz w:val="20"/>
          <w:szCs w:val="20"/>
          <w:lang w:val="en-GB"/>
        </w:rPr>
        <w:t>Y</w:t>
      </w:r>
      <w:r w:rsidRPr="005948E5">
        <w:rPr>
          <w:rFonts w:ascii="Times New Roman" w:hAnsi="Times New Roman"/>
          <w:snapToGrid w:val="0"/>
          <w:sz w:val="20"/>
          <w:szCs w:val="20"/>
          <w:lang w:val="en-GB"/>
        </w:rPr>
        <w:t xml:space="preserve"> are determined by </w:t>
      </w:r>
      <w:r>
        <w:rPr>
          <w:rFonts w:ascii="Times New Roman" w:hAnsi="Times New Roman"/>
          <w:snapToGrid w:val="0"/>
          <w:sz w:val="20"/>
          <w:szCs w:val="20"/>
          <w:lang w:val="en-GB"/>
        </w:rPr>
        <w:t xml:space="preserve">the </w:t>
      </w:r>
      <w:r w:rsidRPr="00A0444D">
        <w:rPr>
          <w:rFonts w:ascii="Times New Roman" w:hAnsi="Times New Roman"/>
          <w:snapToGrid w:val="0"/>
          <w:sz w:val="20"/>
          <w:szCs w:val="20"/>
          <w:lang w:val="en-GB"/>
        </w:rPr>
        <w:t xml:space="preserve">macroeconomic variables which </w:t>
      </w:r>
      <w:r w:rsidRPr="005948E5">
        <w:rPr>
          <w:rFonts w:ascii="Times New Roman" w:hAnsi="Times New Roman"/>
          <w:snapToGrid w:val="0"/>
          <w:sz w:val="20"/>
          <w:szCs w:val="20"/>
          <w:lang w:val="en-GB"/>
        </w:rPr>
        <w:t>generate</w:t>
      </w:r>
      <w:r w:rsidRPr="00A0444D">
        <w:rPr>
          <w:rFonts w:ascii="Times New Roman" w:hAnsi="Times New Roman"/>
          <w:snapToGrid w:val="0"/>
          <w:sz w:val="20"/>
          <w:szCs w:val="20"/>
          <w:lang w:val="en-GB"/>
        </w:rPr>
        <w:t xml:space="preserve"> the factorial income distribution. Each element </w:t>
      </w:r>
      <w:r w:rsidRPr="00A0444D">
        <w:rPr>
          <w:rFonts w:ascii="Times New Roman" w:hAnsi="Times New Roman"/>
          <w:snapToGrid w:val="0"/>
          <w:position w:val="-12"/>
          <w:sz w:val="20"/>
          <w:szCs w:val="20"/>
          <w:lang w:val="en-GB"/>
        </w:rPr>
        <w:object w:dxaOrig="1120" w:dyaOrig="360">
          <v:shape id="_x0000_i1044" type="#_x0000_t75" style="width:49.5pt;height:21pt" o:ole="">
            <v:imagedata r:id="rId45" o:title=""/>
          </v:shape>
          <o:OLEObject Type="Embed" ProgID="Equation.3" ShapeID="_x0000_i1044" DrawAspect="Content" ObjectID="_1569244132" r:id="rId46"/>
        </w:object>
      </w:r>
      <w:r w:rsidRPr="00A0444D">
        <w:rPr>
          <w:rFonts w:ascii="Times New Roman" w:hAnsi="Times New Roman"/>
          <w:snapToGrid w:val="0"/>
          <w:sz w:val="20"/>
          <w:szCs w:val="20"/>
          <w:lang w:val="en-GB"/>
        </w:rPr>
        <w:t xml:space="preserve"> of matrix </w:t>
      </w:r>
      <w:r w:rsidRPr="00A0444D">
        <w:rPr>
          <w:rFonts w:ascii="Times New Roman" w:hAnsi="Times New Roman"/>
          <w:b/>
          <w:snapToGrid w:val="0"/>
          <w:sz w:val="20"/>
          <w:szCs w:val="20"/>
          <w:lang w:val="en-GB"/>
        </w:rPr>
        <w:t>S</w:t>
      </w:r>
      <w:r w:rsidRPr="00A0444D">
        <w:rPr>
          <w:rFonts w:ascii="Times New Roman" w:hAnsi="Times New Roman"/>
          <w:snapToGrid w:val="0"/>
          <w:sz w:val="20"/>
          <w:szCs w:val="20"/>
          <w:lang w:val="en-GB"/>
        </w:rPr>
        <w:t xml:space="preserve">, instead, represents the share of </w:t>
      </w:r>
      <w:r w:rsidRPr="00A0444D">
        <w:rPr>
          <w:rFonts w:ascii="Times New Roman" w:hAnsi="Times New Roman"/>
          <w:i/>
          <w:snapToGrid w:val="0"/>
          <w:sz w:val="20"/>
          <w:szCs w:val="20"/>
          <w:lang w:val="en-GB"/>
        </w:rPr>
        <w:t>h-th</w:t>
      </w:r>
      <w:r>
        <w:rPr>
          <w:rFonts w:ascii="Times New Roman" w:hAnsi="Times New Roman"/>
          <w:i/>
          <w:snapToGrid w:val="0"/>
          <w:sz w:val="20"/>
          <w:szCs w:val="20"/>
          <w:lang w:val="en-GB"/>
        </w:rPr>
        <w:t xml:space="preserve"> </w:t>
      </w:r>
      <w:r w:rsidRPr="00A0444D">
        <w:rPr>
          <w:rFonts w:ascii="Times New Roman" w:hAnsi="Times New Roman"/>
          <w:snapToGrid w:val="0"/>
          <w:sz w:val="20"/>
          <w:szCs w:val="20"/>
          <w:lang w:val="en-GB"/>
        </w:rPr>
        <w:t xml:space="preserve">  group of households to</w:t>
      </w:r>
      <w:r>
        <w:rPr>
          <w:rFonts w:ascii="Times New Roman" w:hAnsi="Times New Roman"/>
          <w:snapToGrid w:val="0"/>
          <w:sz w:val="20"/>
          <w:szCs w:val="20"/>
          <w:lang w:val="en-GB"/>
        </w:rPr>
        <w:t xml:space="preserve"> </w:t>
      </w:r>
      <w:r w:rsidRPr="005948E5">
        <w:rPr>
          <w:rFonts w:ascii="Times New Roman" w:hAnsi="Times New Roman"/>
          <w:snapToGrid w:val="0"/>
          <w:sz w:val="20"/>
          <w:szCs w:val="20"/>
          <w:lang w:val="en-GB"/>
        </w:rPr>
        <w:t>the</w:t>
      </w:r>
      <w:r w:rsidRPr="00A0444D">
        <w:rPr>
          <w:rFonts w:ascii="Times New Roman" w:hAnsi="Times New Roman"/>
          <w:snapToGrid w:val="0"/>
          <w:sz w:val="20"/>
          <w:szCs w:val="20"/>
          <w:lang w:val="en-GB"/>
        </w:rPr>
        <w:t xml:space="preserve"> </w:t>
      </w:r>
      <w:r w:rsidRPr="00A0444D">
        <w:rPr>
          <w:rFonts w:ascii="Times New Roman" w:hAnsi="Times New Roman"/>
          <w:i/>
          <w:snapToGrid w:val="0"/>
          <w:sz w:val="20"/>
          <w:szCs w:val="20"/>
          <w:lang w:val="en-GB"/>
        </w:rPr>
        <w:t>f-th</w:t>
      </w:r>
      <w:r w:rsidRPr="00A0444D">
        <w:rPr>
          <w:rFonts w:ascii="Times New Roman" w:hAnsi="Times New Roman"/>
          <w:snapToGrid w:val="0"/>
          <w:sz w:val="20"/>
          <w:szCs w:val="20"/>
          <w:lang w:val="en-GB"/>
        </w:rPr>
        <w:t xml:space="preserve"> type of income (wages, salaries, income from autonomous work,…) according to the different ownership of human and physical capital. These values can be considered as the result of all that variables that influence the earning capability of people as native or acquired personal abilities, level of education, age, ownership of physical capital. In other words, they depend on all the variables </w:t>
      </w:r>
      <w:r w:rsidRPr="005948E5">
        <w:rPr>
          <w:rFonts w:ascii="Times New Roman" w:hAnsi="Times New Roman"/>
          <w:snapToGrid w:val="0"/>
          <w:sz w:val="20"/>
          <w:szCs w:val="20"/>
          <w:lang w:val="en-GB"/>
        </w:rPr>
        <w:t>that in the “traditional” theories of personal income distribution are considered as casual factors (Lydall,1979).</w:t>
      </w:r>
    </w:p>
    <w:p w:rsidR="00C273A1" w:rsidRDefault="00C273A1" w:rsidP="002B1E64">
      <w:pPr>
        <w:keepNext/>
        <w:keepLines/>
        <w:spacing w:after="0" w:line="240" w:lineRule="auto"/>
        <w:ind w:right="113"/>
        <w:jc w:val="both"/>
        <w:rPr>
          <w:rFonts w:ascii="Times New Roman" w:hAnsi="Times New Roman"/>
          <w:snapToGrid w:val="0"/>
          <w:sz w:val="20"/>
          <w:szCs w:val="20"/>
          <w:lang w:val="en-GB"/>
        </w:rPr>
      </w:pPr>
      <w:r w:rsidRPr="00A0444D">
        <w:rPr>
          <w:rFonts w:ascii="Times New Roman" w:hAnsi="Times New Roman"/>
          <w:snapToGrid w:val="0"/>
          <w:sz w:val="20"/>
          <w:szCs w:val="20"/>
          <w:lang w:val="en-GB"/>
        </w:rPr>
        <w:t xml:space="preserve">To assume that matrix </w:t>
      </w:r>
      <w:r w:rsidRPr="00A0444D">
        <w:rPr>
          <w:rFonts w:ascii="Times New Roman" w:hAnsi="Times New Roman"/>
          <w:b/>
          <w:snapToGrid w:val="0"/>
          <w:sz w:val="20"/>
          <w:szCs w:val="20"/>
          <w:lang w:val="en-GB"/>
        </w:rPr>
        <w:t>T</w:t>
      </w:r>
      <w:r w:rsidRPr="00A0444D">
        <w:rPr>
          <w:rFonts w:ascii="Times New Roman" w:hAnsi="Times New Roman"/>
          <w:snapToGrid w:val="0"/>
          <w:position w:val="-6"/>
          <w:sz w:val="20"/>
          <w:szCs w:val="20"/>
          <w:vertAlign w:val="subscript"/>
          <w:lang w:val="en-GB"/>
        </w:rPr>
        <w:t xml:space="preserve"> </w:t>
      </w:r>
      <w:r w:rsidRPr="00A0444D">
        <w:rPr>
          <w:rFonts w:ascii="Times New Roman" w:hAnsi="Times New Roman"/>
          <w:snapToGrid w:val="0"/>
          <w:sz w:val="20"/>
          <w:szCs w:val="20"/>
          <w:lang w:val="en-GB"/>
        </w:rPr>
        <w:t xml:space="preserve">is the result of the product of the two matrixes </w:t>
      </w:r>
      <w:r w:rsidRPr="00A0444D">
        <w:rPr>
          <w:rFonts w:ascii="Times New Roman" w:hAnsi="Times New Roman"/>
          <w:b/>
          <w:snapToGrid w:val="0"/>
          <w:sz w:val="20"/>
          <w:szCs w:val="20"/>
          <w:lang w:val="en-GB"/>
        </w:rPr>
        <w:t>S</w:t>
      </w:r>
      <w:r w:rsidRPr="00A0444D">
        <w:rPr>
          <w:rFonts w:ascii="Times New Roman" w:hAnsi="Times New Roman"/>
          <w:snapToGrid w:val="0"/>
          <w:sz w:val="20"/>
          <w:szCs w:val="20"/>
          <w:lang w:val="en-GB"/>
        </w:rPr>
        <w:t xml:space="preserve"> and </w:t>
      </w:r>
      <w:r w:rsidRPr="00A0444D">
        <w:rPr>
          <w:rFonts w:ascii="Times New Roman" w:hAnsi="Times New Roman"/>
          <w:b/>
          <w:snapToGrid w:val="0"/>
          <w:sz w:val="20"/>
          <w:szCs w:val="20"/>
          <w:lang w:val="en-GB"/>
        </w:rPr>
        <w:t>Y,</w:t>
      </w:r>
      <w:r w:rsidRPr="00A0444D">
        <w:rPr>
          <w:rFonts w:ascii="Times New Roman" w:hAnsi="Times New Roman"/>
          <w:snapToGrid w:val="0"/>
          <w:sz w:val="20"/>
          <w:szCs w:val="20"/>
          <w:lang w:val="en-GB"/>
        </w:rPr>
        <w:t xml:space="preserve"> allows us to separate two components in the process of the market distribution of income to the households. Thi</w:t>
      </w:r>
      <w:r w:rsidRPr="00747638">
        <w:rPr>
          <w:rFonts w:ascii="Times New Roman" w:hAnsi="Times New Roman"/>
          <w:snapToGrid w:val="0"/>
          <w:sz w:val="20"/>
          <w:szCs w:val="20"/>
          <w:lang w:val="en-GB"/>
        </w:rPr>
        <w:t xml:space="preserve">s </w:t>
      </w:r>
      <w:r w:rsidRPr="00747638">
        <w:rPr>
          <w:rStyle w:val="alt-edited1"/>
          <w:rFonts w:ascii="Times New Roman" w:hAnsi="Times New Roman"/>
          <w:color w:val="auto"/>
          <w:sz w:val="20"/>
          <w:szCs w:val="20"/>
        </w:rPr>
        <w:t>breakdown</w:t>
      </w:r>
      <w:r w:rsidRPr="00747638">
        <w:rPr>
          <w:rFonts w:ascii="Times New Roman" w:hAnsi="Times New Roman"/>
          <w:snapToGrid w:val="0"/>
          <w:sz w:val="20"/>
          <w:szCs w:val="20"/>
          <w:lang w:val="en-GB"/>
        </w:rPr>
        <w:t xml:space="preserve"> al</w:t>
      </w:r>
      <w:r w:rsidRPr="00A0444D">
        <w:rPr>
          <w:rFonts w:ascii="Times New Roman" w:hAnsi="Times New Roman"/>
          <w:snapToGrid w:val="0"/>
          <w:sz w:val="20"/>
          <w:szCs w:val="20"/>
          <w:lang w:val="en-GB"/>
        </w:rPr>
        <w:t>lows</w:t>
      </w:r>
      <w:r w:rsidRPr="00A0444D">
        <w:rPr>
          <w:rFonts w:ascii="Times New Roman" w:hAnsi="Times New Roman"/>
          <w:snapToGrid w:val="0"/>
          <w:color w:val="FF0000"/>
          <w:sz w:val="20"/>
          <w:szCs w:val="20"/>
          <w:lang w:val="en-GB"/>
        </w:rPr>
        <w:t xml:space="preserve"> </w:t>
      </w:r>
      <w:r w:rsidRPr="00A0444D">
        <w:rPr>
          <w:rFonts w:ascii="Times New Roman" w:hAnsi="Times New Roman"/>
          <w:snapToGrid w:val="0"/>
          <w:sz w:val="20"/>
          <w:szCs w:val="20"/>
          <w:lang w:val="en-GB"/>
        </w:rPr>
        <w:t xml:space="preserve">us to identify the different effects on personal income distribution of the changes in the market and employment structure and in public policies. First of all the income distribution is influenced by a change in the factorial distribution: this happens, for instance, when in the sectors of production the technological processes change. The income distribution can change, however, changing </w:t>
      </w:r>
      <w:r w:rsidRPr="00A0444D">
        <w:rPr>
          <w:rFonts w:ascii="Times New Roman" w:hAnsi="Times New Roman"/>
          <w:color w:val="222222"/>
          <w:sz w:val="20"/>
          <w:szCs w:val="20"/>
        </w:rPr>
        <w:t>the distribution of human capital and of wealth in terms of the factors properties.</w:t>
      </w:r>
      <w:r w:rsidRPr="00A0444D">
        <w:rPr>
          <w:rFonts w:ascii="Times New Roman" w:hAnsi="Times New Roman"/>
          <w:snapToGrid w:val="0"/>
          <w:sz w:val="20"/>
          <w:szCs w:val="20"/>
          <w:lang w:val="en-GB"/>
        </w:rPr>
        <w:t xml:space="preserve"> These are macroeconomic variables out of the control of single individuals and/or household. </w:t>
      </w:r>
    </w:p>
    <w:p w:rsidR="00C273A1" w:rsidRPr="005948E5" w:rsidRDefault="00C273A1" w:rsidP="00F62526">
      <w:pPr>
        <w:autoSpaceDE w:val="0"/>
        <w:autoSpaceDN w:val="0"/>
        <w:adjustRightInd w:val="0"/>
        <w:spacing w:after="0" w:line="240" w:lineRule="auto"/>
        <w:jc w:val="both"/>
        <w:rPr>
          <w:rFonts w:ascii="Times New Roman" w:hAnsi="Times New Roman"/>
          <w:sz w:val="20"/>
          <w:szCs w:val="20"/>
          <w:lang w:val="en-IE"/>
        </w:rPr>
      </w:pPr>
      <w:r w:rsidRPr="005948E5">
        <w:rPr>
          <w:rFonts w:ascii="Times New Roman" w:hAnsi="Times New Roman"/>
          <w:snapToGrid w:val="0"/>
          <w:sz w:val="20"/>
          <w:szCs w:val="20"/>
          <w:lang w:val="en-GB"/>
        </w:rPr>
        <w:t xml:space="preserve">The framework here presented can be considered the theoretical approach for building a Social Accounting Matrix (SAM). </w:t>
      </w:r>
      <w:r w:rsidRPr="005948E5">
        <w:rPr>
          <w:rFonts w:ascii="Times New Roman" w:hAnsi="Times New Roman"/>
          <w:sz w:val="20"/>
          <w:szCs w:val="20"/>
          <w:lang w:val="en-IE"/>
        </w:rPr>
        <w:t>A SAM is basically a matrix combining in an accounting framework the flows in value of an economic system and showing, in addition, for all transactions, who pays what to whom. The elementary flows, which interrelate the</w:t>
      </w:r>
      <w:r w:rsidRPr="005948E5">
        <w:rPr>
          <w:rFonts w:ascii="Times New Roman" w:hAnsi="Times New Roman"/>
          <w:snapToGrid w:val="0"/>
          <w:sz w:val="20"/>
          <w:szCs w:val="20"/>
          <w:lang w:val="en-GB"/>
        </w:rPr>
        <w:t xml:space="preserve"> </w:t>
      </w:r>
      <w:r w:rsidRPr="005948E5">
        <w:rPr>
          <w:rFonts w:ascii="Times New Roman" w:hAnsi="Times New Roman"/>
          <w:sz w:val="20"/>
          <w:szCs w:val="20"/>
          <w:lang w:val="en-IE"/>
        </w:rPr>
        <w:t xml:space="preserve">economic units aggregated at different level, are the starting point. The SAM captures and shows the entire circular flow of income from its production to its distribution, </w:t>
      </w:r>
      <w:r w:rsidRPr="000E2F29">
        <w:rPr>
          <w:rFonts w:ascii="Times New Roman" w:hAnsi="Times New Roman"/>
          <w:sz w:val="20"/>
          <w:szCs w:val="20"/>
          <w:lang w:val="en-IE"/>
        </w:rPr>
        <w:t>its redistribution and its</w:t>
      </w:r>
      <w:r w:rsidRPr="005948E5">
        <w:rPr>
          <w:rFonts w:ascii="Times New Roman" w:hAnsi="Times New Roman"/>
          <w:sz w:val="20"/>
          <w:szCs w:val="20"/>
          <w:lang w:val="en-IE"/>
        </w:rPr>
        <w:t xml:space="preserve"> expenditure. Most of the SAM, in particular, has been oriented towards an analysis of linkages between the structural features of an economy and the distribution of incomes and expenditures among household groups. Matrix </w:t>
      </w:r>
      <w:r w:rsidRPr="005948E5">
        <w:rPr>
          <w:rFonts w:ascii="Times New Roman" w:hAnsi="Times New Roman"/>
          <w:snapToGrid w:val="0"/>
          <w:sz w:val="20"/>
          <w:szCs w:val="20"/>
          <w:lang w:val="en-GB"/>
        </w:rPr>
        <w:t xml:space="preserve">T, </w:t>
      </w:r>
      <w:r w:rsidRPr="00355D0B">
        <w:rPr>
          <w:rFonts w:ascii="Times New Roman" w:hAnsi="Times New Roman"/>
          <w:snapToGrid w:val="0"/>
          <w:sz w:val="20"/>
          <w:szCs w:val="20"/>
          <w:lang w:val="en-GB"/>
        </w:rPr>
        <w:t>here introduced</w:t>
      </w:r>
      <w:r w:rsidRPr="005948E5">
        <w:rPr>
          <w:rFonts w:ascii="Times New Roman" w:hAnsi="Times New Roman"/>
          <w:snapToGrid w:val="0"/>
          <w:sz w:val="20"/>
          <w:szCs w:val="20"/>
          <w:lang w:val="en-GB"/>
        </w:rPr>
        <w:t>,</w:t>
      </w:r>
      <w:r w:rsidRPr="005948E5">
        <w:rPr>
          <w:rFonts w:ascii="Times New Roman" w:hAnsi="Times New Roman"/>
          <w:sz w:val="20"/>
          <w:szCs w:val="20"/>
          <w:lang w:val="en-IE"/>
        </w:rPr>
        <w:t xml:space="preserve"> is the “core” of the Institution Household account</w:t>
      </w:r>
    </w:p>
    <w:p w:rsidR="00C273A1" w:rsidRPr="00355D0B" w:rsidRDefault="00C273A1" w:rsidP="00747638">
      <w:pPr>
        <w:autoSpaceDE w:val="0"/>
        <w:autoSpaceDN w:val="0"/>
        <w:adjustRightInd w:val="0"/>
        <w:spacing w:after="0" w:line="240" w:lineRule="auto"/>
        <w:jc w:val="both"/>
        <w:rPr>
          <w:rFonts w:ascii="Times New Roman" w:hAnsi="Times New Roman"/>
          <w:sz w:val="20"/>
          <w:szCs w:val="20"/>
          <w:lang w:val="en-IE"/>
        </w:rPr>
      </w:pPr>
      <w:r w:rsidRPr="005948E5">
        <w:rPr>
          <w:rFonts w:ascii="Times New Roman" w:hAnsi="Times New Roman"/>
          <w:sz w:val="20"/>
          <w:szCs w:val="20"/>
          <w:lang w:val="en-IE"/>
        </w:rPr>
        <w:t xml:space="preserve">The SAM can be considered as an extension of the traditional input-output framework. This format adds some matrices, not included in the Leontief schema, which allow taking in account of the relationships between factorial distribution of income, income distribution to Institutions and final demand. The introduction of accounts referred to Institutions (Households, Private Companies, Government, Rest of the World) allows capturing the link between factors of production and the Institutions, which own the different factors of production. The secondary distribution of income is also introduced as the result of transfers between different Institutions, mainly between private Institutions and the Government. The disposable income of Institutions is the starting point for sustaining the final demand. In particular the Household, grouped in different socio-economic groups, sustain the demand for consumption. The SAM can be considered not only as a database and as an accounting tool, but also in a wider sense, as a macroeconomic model that can be used both for structural analysis and for fiscal and expenditure policies simulations. It can be used also as the starting point for building Computable General Equilibrium Models (CGE). </w:t>
      </w:r>
      <w:r w:rsidRPr="00B57733">
        <w:rPr>
          <w:rFonts w:ascii="Times New Roman" w:hAnsi="Times New Roman"/>
          <w:sz w:val="20"/>
          <w:szCs w:val="20"/>
          <w:lang w:val="en-IE"/>
        </w:rPr>
        <w:t>literature on the SAM and CGE has been growing in last years at theoretical and empirical levels. Some empirical applications has been done by the authors (Bottiroli Civardi, Targetti Lenti,</w:t>
      </w:r>
      <w:r w:rsidRPr="00B57733">
        <w:rPr>
          <w:rFonts w:ascii="Times New Roman" w:hAnsi="Times New Roman"/>
          <w:sz w:val="20"/>
          <w:szCs w:val="20"/>
          <w:lang w:val="es-ES_tradnl"/>
        </w:rPr>
        <w:t xml:space="preserve"> 1980, 1988, 1990, 1992, 2008; </w:t>
      </w:r>
      <w:r w:rsidRPr="00B57733">
        <w:rPr>
          <w:rFonts w:ascii="Times New Roman" w:hAnsi="Times New Roman"/>
          <w:snapToGrid w:val="0"/>
          <w:sz w:val="20"/>
          <w:szCs w:val="20"/>
          <w:lang w:val="en-IE"/>
        </w:rPr>
        <w:t>Civardi et al. 2010)</w:t>
      </w:r>
      <w:r w:rsidRPr="00B57733">
        <w:rPr>
          <w:rFonts w:ascii="Times New Roman" w:hAnsi="Times New Roman"/>
          <w:sz w:val="20"/>
          <w:szCs w:val="20"/>
          <w:lang w:val="en-IE"/>
        </w:rPr>
        <w:t>.</w:t>
      </w:r>
    </w:p>
    <w:p w:rsidR="00C273A1" w:rsidRPr="00355D0B" w:rsidRDefault="00C273A1" w:rsidP="008E36F4">
      <w:pPr>
        <w:autoSpaceDE w:val="0"/>
        <w:autoSpaceDN w:val="0"/>
        <w:adjustRightInd w:val="0"/>
        <w:spacing w:after="0" w:line="240" w:lineRule="auto"/>
        <w:jc w:val="both"/>
        <w:rPr>
          <w:rFonts w:ascii="Times New Roman" w:hAnsi="Times New Roman"/>
          <w:sz w:val="20"/>
          <w:szCs w:val="20"/>
          <w:lang w:val="en-IE"/>
        </w:rPr>
      </w:pPr>
      <w:r w:rsidRPr="00355D0B">
        <w:rPr>
          <w:rFonts w:ascii="Times New Roman" w:hAnsi="Times New Roman"/>
          <w:sz w:val="20"/>
          <w:szCs w:val="20"/>
          <w:lang w:val="en-IE"/>
        </w:rPr>
        <w:t>An innovative research agenda has been launched as a step towards the creation of Distributional National Accounts (DINA), which aim is to decompose key National Accounts Aggregates (in particular household incomes) by percentiles of the population. This step will allow to link deciles of personal income distribution to different “items” of value added (Bourguignon, 2015). Piketty, Saez and Zucman (2016, p.3) proposed some guidelines attempting to construct a prototype distributional national accounts. Such prototype could be “improved upon as more data become available, new knowledge emerges on who pays taxes and benefits from government spending, and refined estimation techniques are developed just as today's national accounts are regularly improved” The authors argue that methodologically, their contribution is “to construct micro files of pre-tax and post-tax income consistent with macro aggregates”. See also the results of a recent OECD (2015) workshop.</w:t>
      </w:r>
    </w:p>
    <w:p w:rsidR="00C273A1" w:rsidRPr="00355D0B" w:rsidRDefault="00C273A1" w:rsidP="00A23D43">
      <w:pPr>
        <w:autoSpaceDE w:val="0"/>
        <w:autoSpaceDN w:val="0"/>
        <w:adjustRightInd w:val="0"/>
        <w:spacing w:after="0" w:line="240" w:lineRule="auto"/>
        <w:rPr>
          <w:rFonts w:ascii="CMR12" w:hAnsi="CMR12" w:cs="CMR12"/>
          <w:sz w:val="24"/>
          <w:szCs w:val="24"/>
          <w:lang w:val="en-IE"/>
        </w:rPr>
      </w:pPr>
    </w:p>
    <w:p w:rsidR="00C273A1" w:rsidRPr="00A0444D" w:rsidRDefault="00C273A1" w:rsidP="008E3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3"/>
        <w:jc w:val="both"/>
        <w:rPr>
          <w:rFonts w:ascii="Times New Roman" w:hAnsi="Times New Roman"/>
          <w:b/>
          <w:snapToGrid w:val="0"/>
          <w:sz w:val="20"/>
          <w:szCs w:val="20"/>
          <w:lang w:val="en-GB"/>
        </w:rPr>
      </w:pPr>
      <w:r>
        <w:rPr>
          <w:rFonts w:ascii="Times New Roman" w:hAnsi="Times New Roman"/>
          <w:b/>
          <w:snapToGrid w:val="0"/>
          <w:sz w:val="20"/>
          <w:szCs w:val="20"/>
          <w:lang w:val="en-GB"/>
        </w:rPr>
        <w:t>5</w:t>
      </w:r>
      <w:r w:rsidRPr="00A0444D">
        <w:rPr>
          <w:rFonts w:ascii="Times New Roman" w:hAnsi="Times New Roman"/>
          <w:b/>
          <w:snapToGrid w:val="0"/>
          <w:sz w:val="20"/>
          <w:szCs w:val="20"/>
          <w:lang w:val="en-GB"/>
        </w:rPr>
        <w:t xml:space="preserve">. Concluding remarks. </w:t>
      </w:r>
    </w:p>
    <w:p w:rsidR="00C273A1" w:rsidRPr="00A0444D" w:rsidRDefault="00C273A1" w:rsidP="00F62526">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0444D">
        <w:rPr>
          <w:sz w:val="20"/>
          <w:szCs w:val="20"/>
        </w:rPr>
        <w:t xml:space="preserve">Traditional redistributive policies which transform market </w:t>
      </w:r>
      <w:r w:rsidRPr="00B57733">
        <w:rPr>
          <w:color w:val="auto"/>
          <w:sz w:val="20"/>
          <w:szCs w:val="20"/>
        </w:rPr>
        <w:t>income</w:t>
      </w:r>
      <w:r w:rsidRPr="003E751A">
        <w:rPr>
          <w:color w:val="FF0000"/>
          <w:sz w:val="20"/>
          <w:szCs w:val="20"/>
        </w:rPr>
        <w:t xml:space="preserve"> </w:t>
      </w:r>
      <w:r w:rsidRPr="00A0444D">
        <w:rPr>
          <w:sz w:val="20"/>
          <w:szCs w:val="20"/>
        </w:rPr>
        <w:t>in disposable income act, first of all, through</w:t>
      </w:r>
      <w:r w:rsidRPr="00A0444D">
        <w:rPr>
          <w:rFonts w:eastAsia="MS Mincho"/>
          <w:sz w:val="20"/>
          <w:szCs w:val="20"/>
          <w:lang w:eastAsia="ja-JP"/>
        </w:rPr>
        <w:t xml:space="preserve"> the tax system by adopting progressive taxation not only on income but also on different types of wealth. </w:t>
      </w:r>
      <w:r w:rsidRPr="00A0444D">
        <w:rPr>
          <w:sz w:val="20"/>
          <w:szCs w:val="20"/>
        </w:rPr>
        <w:t xml:space="preserve">According to Atkinson (2015), the sources of inequality in the industrialized countries are today </w:t>
      </w:r>
      <w:r w:rsidRPr="00A0444D">
        <w:rPr>
          <w:sz w:val="20"/>
          <w:szCs w:val="20"/>
          <w:lang w:val="en-IE"/>
        </w:rPr>
        <w:t>so many and multifaced</w:t>
      </w:r>
      <w:r w:rsidRPr="00A0444D">
        <w:rPr>
          <w:rFonts w:eastAsia="MS Mincho"/>
          <w:sz w:val="20"/>
          <w:szCs w:val="20"/>
          <w:lang w:val="en-GB" w:eastAsia="ja-JP"/>
        </w:rPr>
        <w:t xml:space="preserve"> that traditional fiscal and redistributive policies</w:t>
      </w:r>
      <w:r w:rsidRPr="00A0444D">
        <w:rPr>
          <w:sz w:val="20"/>
          <w:szCs w:val="20"/>
        </w:rPr>
        <w:t xml:space="preserve"> will not go to the root of the problem. Taxation must be considered only one tool, among many others, to increase social mobility.  “A well  designed tax system can do more than just raise money” (Stiglitz, 2014c), but a decrease of inequality through the increase in social mobility asks for the introduction of more radical policies (ex-ante) than the redistributive (ex-post) traditional ones (Atkinson, 2015).</w:t>
      </w:r>
    </w:p>
    <w:p w:rsidR="00C273A1" w:rsidRDefault="00C273A1" w:rsidP="002B1E6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0444D">
        <w:rPr>
          <w:color w:val="auto"/>
          <w:sz w:val="20"/>
          <w:szCs w:val="20"/>
        </w:rPr>
        <w:t xml:space="preserve">The set of fiscal policies, suggested by Piketty’s, for curbing income inequality, is the result  of his model of “patrimonial capitalism”. The increase of the tax burden must not be considered, as generally happens, mainly a measure of equalization, but rather as a tool to finance a significant expansion of the social security and the redistributive transfer of income and subsides. It is necessary to reform the tax system by adopting progressive taxation not only on income but also on the different types of wealth: it would be especially necessary to introduce a progressive tax on estates and </w:t>
      </w:r>
      <w:r w:rsidRPr="00A0444D">
        <w:rPr>
          <w:sz w:val="20"/>
          <w:szCs w:val="20"/>
        </w:rPr>
        <w:t xml:space="preserve">inheritances and to standardize the taxation of capital worldwide. A progressive wealth tax on a global scale, based on the automatic exchange of bank information, is suggested by Piketty not only as "useful utopia", but as a proposal to think about and discuss. </w:t>
      </w:r>
    </w:p>
    <w:p w:rsidR="00C273A1" w:rsidRPr="00A0444D" w:rsidRDefault="00C273A1" w:rsidP="002B1E6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0444D">
        <w:rPr>
          <w:rFonts w:eastAsia="MS Mincho"/>
          <w:sz w:val="20"/>
          <w:szCs w:val="20"/>
          <w:lang w:eastAsia="ja-JP"/>
        </w:rPr>
        <w:t xml:space="preserve">Piketty’s </w:t>
      </w:r>
      <w:r w:rsidRPr="00A0444D">
        <w:rPr>
          <w:rFonts w:eastAsia="MS Mincho"/>
          <w:color w:val="auto"/>
          <w:sz w:val="20"/>
          <w:szCs w:val="20"/>
          <w:lang w:eastAsia="ja-JP"/>
        </w:rPr>
        <w:t xml:space="preserve">approach </w:t>
      </w:r>
      <w:r w:rsidRPr="00A0444D">
        <w:rPr>
          <w:rFonts w:eastAsia="MS Mincho"/>
          <w:sz w:val="20"/>
          <w:szCs w:val="20"/>
          <w:lang w:eastAsia="ja-JP"/>
        </w:rPr>
        <w:t>has a limited efficacy because it is effective only on the ex post inequality’ level. I</w:t>
      </w:r>
      <w:r w:rsidRPr="00A0444D">
        <w:rPr>
          <w:sz w:val="20"/>
          <w:szCs w:val="20"/>
          <w:lang w:val="en-IE"/>
        </w:rPr>
        <w:t>nnovative and structural policies, instead, must be associated to the traditional one.</w:t>
      </w:r>
      <w:r w:rsidRPr="00A0444D">
        <w:rPr>
          <w:rFonts w:eastAsia="MS Mincho"/>
          <w:sz w:val="20"/>
          <w:szCs w:val="20"/>
          <w:lang w:val="en-IE" w:eastAsia="ja-JP"/>
        </w:rPr>
        <w:t xml:space="preserve"> “</w:t>
      </w:r>
      <w:r w:rsidRPr="00A0444D">
        <w:rPr>
          <w:sz w:val="20"/>
          <w:szCs w:val="20"/>
        </w:rPr>
        <w:t>Reducing inequality is not just a matter of taxes and spending” (Atkinson, 2015</w:t>
      </w:r>
      <w:r w:rsidRPr="00A0444D">
        <w:rPr>
          <w:sz w:val="20"/>
          <w:szCs w:val="20"/>
          <w:lang w:val="en-IE"/>
        </w:rPr>
        <w:t>b, p. 2-4)</w:t>
      </w:r>
      <w:r w:rsidRPr="00A0444D">
        <w:rPr>
          <w:sz w:val="20"/>
          <w:szCs w:val="20"/>
        </w:rPr>
        <w:t xml:space="preserve">. </w:t>
      </w:r>
      <w:r w:rsidRPr="00A0444D">
        <w:rPr>
          <w:color w:val="212121"/>
          <w:sz w:val="20"/>
          <w:szCs w:val="20"/>
        </w:rPr>
        <w:t xml:space="preserve">Social security and taxation are policies aimed to redistributing income and wealth between people. They are very important to reduce inequalities in the distribution of disposable incomes </w:t>
      </w:r>
      <w:r w:rsidRPr="00A0444D">
        <w:rPr>
          <w:i/>
          <w:color w:val="212121"/>
          <w:sz w:val="20"/>
          <w:szCs w:val="20"/>
        </w:rPr>
        <w:t>ex-post</w:t>
      </w:r>
      <w:r w:rsidRPr="00A0444D">
        <w:rPr>
          <w:color w:val="212121"/>
          <w:sz w:val="20"/>
          <w:szCs w:val="20"/>
        </w:rPr>
        <w:t xml:space="preserve">, but certainly they cannot reduce inequality in the distribution of market income, namely on the </w:t>
      </w:r>
      <w:r w:rsidRPr="00A0444D">
        <w:rPr>
          <w:i/>
          <w:color w:val="212121"/>
          <w:sz w:val="20"/>
          <w:szCs w:val="20"/>
        </w:rPr>
        <w:t>ex-ante</w:t>
      </w:r>
      <w:r w:rsidRPr="00A0444D">
        <w:rPr>
          <w:color w:val="212121"/>
          <w:sz w:val="20"/>
          <w:szCs w:val="20"/>
        </w:rPr>
        <w:t xml:space="preserve"> income generating process. </w:t>
      </w:r>
      <w:r w:rsidRPr="00A0444D">
        <w:rPr>
          <w:snapToGrid w:val="0"/>
          <w:sz w:val="20"/>
          <w:szCs w:val="20"/>
          <w:lang w:val="en-GB"/>
        </w:rPr>
        <w:t xml:space="preserve">This kind of inequality can decrease with policies aimed to change in the composition of the ownership of endowments by different group of households (matrix </w:t>
      </w:r>
      <w:r w:rsidRPr="00A0444D">
        <w:rPr>
          <w:b/>
          <w:snapToGrid w:val="0"/>
          <w:sz w:val="20"/>
          <w:szCs w:val="20"/>
          <w:lang w:val="en-GB"/>
        </w:rPr>
        <w:t>S</w:t>
      </w:r>
      <w:r w:rsidRPr="00A0444D">
        <w:rPr>
          <w:snapToGrid w:val="0"/>
          <w:sz w:val="20"/>
          <w:szCs w:val="20"/>
          <w:lang w:val="en-GB"/>
        </w:rPr>
        <w:t xml:space="preserve">). </w:t>
      </w:r>
      <w:r w:rsidRPr="00A0444D">
        <w:rPr>
          <w:color w:val="333333"/>
          <w:sz w:val="20"/>
          <w:szCs w:val="20"/>
        </w:rPr>
        <w:t>The “sharing of capital” could be</w:t>
      </w:r>
      <w:r w:rsidRPr="00A0444D">
        <w:rPr>
          <w:sz w:val="20"/>
          <w:szCs w:val="20"/>
        </w:rPr>
        <w:t xml:space="preserve"> one of these policies. Social mobility and better opportunities for poor people can be obtained by improving the quality of schools and easing the access to all. These policies have a positive impact on the endowment of human capital of different household groups.</w:t>
      </w:r>
    </w:p>
    <w:p w:rsidR="00C273A1" w:rsidRPr="00BD2A2D" w:rsidRDefault="00C273A1" w:rsidP="002B1E64">
      <w:pPr>
        <w:pStyle w:val="Corpotes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en-IE"/>
        </w:rPr>
      </w:pPr>
      <w:r w:rsidRPr="00A0444D">
        <w:rPr>
          <w:rFonts w:ascii="Times New Roman" w:hAnsi="Times New Roman"/>
          <w:sz w:val="20"/>
          <w:szCs w:val="20"/>
        </w:rPr>
        <w:t xml:space="preserve">Atkinson </w:t>
      </w:r>
      <w:r w:rsidRPr="00A0444D">
        <w:rPr>
          <w:rFonts w:ascii="Times New Roman" w:hAnsi="Times New Roman"/>
          <w:color w:val="333333"/>
          <w:sz w:val="20"/>
          <w:szCs w:val="20"/>
        </w:rPr>
        <w:t xml:space="preserve">recommends ambitious new policies at least in five areas: technology, employment, social security, the sharing of capital, and taxation </w:t>
      </w:r>
      <w:r w:rsidRPr="00A0444D">
        <w:rPr>
          <w:rFonts w:ascii="Times New Roman" w:hAnsi="Times New Roman"/>
          <w:sz w:val="20"/>
          <w:szCs w:val="20"/>
        </w:rPr>
        <w:t>(Atkinson, 2015, p 15). In our opinion, the effects of some of these policies on the personal income distribution could be better assessed and evaluated within an analytical framework which links the individual/household’ market income to the functional distribution.</w:t>
      </w:r>
      <w:r w:rsidRPr="00A0444D">
        <w:rPr>
          <w:rFonts w:ascii="Times New Roman" w:eastAsia="MS Mincho" w:hAnsi="Times New Roman"/>
          <w:sz w:val="20"/>
          <w:szCs w:val="20"/>
          <w:lang w:val="en-GB" w:eastAsia="ja-JP"/>
        </w:rPr>
        <w:t xml:space="preserve"> The framework here </w:t>
      </w:r>
      <w:r w:rsidRPr="00A0444D">
        <w:rPr>
          <w:rFonts w:ascii="Times New Roman" w:hAnsi="Times New Roman"/>
          <w:snapToGrid w:val="0"/>
          <w:sz w:val="20"/>
          <w:szCs w:val="20"/>
          <w:lang w:val="en-GB"/>
        </w:rPr>
        <w:t>introduced seems to be a</w:t>
      </w:r>
      <w:r w:rsidRPr="00A0444D">
        <w:rPr>
          <w:rFonts w:ascii="Times New Roman" w:eastAsia="MS Mincho" w:hAnsi="Times New Roman"/>
          <w:sz w:val="20"/>
          <w:szCs w:val="20"/>
          <w:lang w:val="en-GB" w:eastAsia="ja-JP"/>
        </w:rPr>
        <w:t xml:space="preserve"> suitable tool for taking in account that </w:t>
      </w:r>
      <w:r w:rsidRPr="00A0444D">
        <w:rPr>
          <w:rFonts w:ascii="Times New Roman" w:hAnsi="Times New Roman"/>
          <w:sz w:val="20"/>
          <w:szCs w:val="20"/>
          <w:lang w:val="en-GB"/>
        </w:rPr>
        <w:t xml:space="preserve">the personal income distribution is inextricably tied up with different </w:t>
      </w:r>
      <w:r w:rsidRPr="00A0444D">
        <w:rPr>
          <w:rFonts w:ascii="Times New Roman" w:hAnsi="Times New Roman"/>
          <w:sz w:val="20"/>
          <w:szCs w:val="20"/>
          <w:lang w:val="en-IE"/>
        </w:rPr>
        <w:t>sources of inequality in the distribution of national income such as what comes from</w:t>
      </w:r>
      <w:r w:rsidRPr="00A0444D">
        <w:rPr>
          <w:rFonts w:ascii="Times New Roman" w:hAnsi="Times New Roman"/>
          <w:color w:val="FF0000"/>
          <w:sz w:val="20"/>
          <w:szCs w:val="20"/>
          <w:lang w:val="en-IE"/>
        </w:rPr>
        <w:t xml:space="preserve"> </w:t>
      </w:r>
      <w:r w:rsidRPr="00A0444D">
        <w:rPr>
          <w:rFonts w:ascii="Times New Roman" w:hAnsi="Times New Roman"/>
          <w:sz w:val="20"/>
          <w:szCs w:val="20"/>
          <w:lang w:val="en-IE"/>
        </w:rPr>
        <w:t xml:space="preserve">the </w:t>
      </w:r>
      <w:r w:rsidRPr="00A0444D">
        <w:rPr>
          <w:rFonts w:ascii="Times New Roman" w:hAnsi="Times New Roman"/>
          <w:sz w:val="20"/>
          <w:szCs w:val="20"/>
          <w:lang w:val="en-GB"/>
        </w:rPr>
        <w:t xml:space="preserve">institutional and productive structures (matrix </w:t>
      </w:r>
      <w:r w:rsidRPr="00A0444D">
        <w:rPr>
          <w:rFonts w:ascii="Times New Roman" w:hAnsi="Times New Roman"/>
          <w:b/>
          <w:sz w:val="20"/>
          <w:szCs w:val="20"/>
          <w:lang w:val="en-GB"/>
        </w:rPr>
        <w:t>Y</w:t>
      </w:r>
      <w:r w:rsidRPr="00A0444D">
        <w:rPr>
          <w:rFonts w:ascii="Times New Roman" w:hAnsi="Times New Roman"/>
          <w:sz w:val="20"/>
          <w:szCs w:val="20"/>
          <w:lang w:val="en-GB"/>
        </w:rPr>
        <w:t>), but also what comes</w:t>
      </w:r>
      <w:r w:rsidRPr="00A0444D">
        <w:rPr>
          <w:rFonts w:ascii="Times New Roman" w:hAnsi="Times New Roman"/>
          <w:color w:val="FF0000"/>
          <w:sz w:val="20"/>
          <w:szCs w:val="20"/>
          <w:lang w:val="en-GB"/>
        </w:rPr>
        <w:t xml:space="preserve"> </w:t>
      </w:r>
      <w:r w:rsidRPr="00A0444D">
        <w:rPr>
          <w:rFonts w:ascii="Times New Roman" w:hAnsi="Times New Roman"/>
          <w:sz w:val="20"/>
          <w:szCs w:val="20"/>
          <w:lang w:val="en-GB"/>
        </w:rPr>
        <w:t xml:space="preserve">from the distribution of endowments and of individual/ household entitlements (matrix </w:t>
      </w:r>
      <w:r w:rsidRPr="00A0444D">
        <w:rPr>
          <w:rFonts w:ascii="Times New Roman" w:hAnsi="Times New Roman"/>
          <w:b/>
          <w:sz w:val="20"/>
          <w:szCs w:val="20"/>
          <w:lang w:val="en-GB"/>
        </w:rPr>
        <w:t>S</w:t>
      </w:r>
      <w:r w:rsidRPr="00A0444D">
        <w:rPr>
          <w:rFonts w:ascii="Times New Roman" w:hAnsi="Times New Roman"/>
          <w:sz w:val="20"/>
          <w:szCs w:val="20"/>
          <w:lang w:val="en-GB"/>
        </w:rPr>
        <w:t>).</w:t>
      </w:r>
      <w:r w:rsidRPr="00A0444D">
        <w:rPr>
          <w:rFonts w:ascii="Times New Roman" w:hAnsi="Times New Roman"/>
          <w:color w:val="342822"/>
          <w:sz w:val="20"/>
          <w:szCs w:val="20"/>
          <w:lang w:val="en-IE" w:eastAsia="it-IT"/>
        </w:rPr>
        <w:t xml:space="preserve"> </w:t>
      </w:r>
      <w:r w:rsidRPr="00BD2A2D">
        <w:rPr>
          <w:rFonts w:ascii="Times New Roman" w:hAnsi="Times New Roman"/>
          <w:sz w:val="20"/>
          <w:szCs w:val="20"/>
          <w:lang w:val="en-IE" w:eastAsia="it-IT"/>
        </w:rPr>
        <w:t xml:space="preserve">This approach can be very useful in the design of policies aimed at assuring more equality not only in outcomes but also in opportunities, not only in industrialized countries as UE or U.S., but also in developing ones. Our approach can be a starting point for collecting data in a way more suitable to capture and </w:t>
      </w:r>
      <w:r>
        <w:rPr>
          <w:rFonts w:ascii="Times New Roman" w:hAnsi="Times New Roman"/>
          <w:sz w:val="20"/>
          <w:szCs w:val="20"/>
          <w:lang w:val="en-IE" w:eastAsia="it-IT"/>
        </w:rPr>
        <w:t xml:space="preserve">to </w:t>
      </w:r>
      <w:r w:rsidRPr="00BD2A2D">
        <w:rPr>
          <w:rFonts w:ascii="Times New Roman" w:hAnsi="Times New Roman"/>
          <w:sz w:val="20"/>
          <w:szCs w:val="20"/>
          <w:lang w:val="en-IE" w:eastAsia="it-IT"/>
        </w:rPr>
        <w:t>enlight</w:t>
      </w:r>
      <w:r>
        <w:rPr>
          <w:rFonts w:ascii="Times New Roman" w:hAnsi="Times New Roman"/>
          <w:sz w:val="20"/>
          <w:szCs w:val="20"/>
          <w:lang w:val="en-IE" w:eastAsia="it-IT"/>
        </w:rPr>
        <w:t>en</w:t>
      </w:r>
      <w:r w:rsidRPr="00BD2A2D">
        <w:rPr>
          <w:rFonts w:ascii="Times New Roman" w:hAnsi="Times New Roman"/>
          <w:sz w:val="20"/>
          <w:szCs w:val="20"/>
          <w:lang w:val="en-IE" w:eastAsia="it-IT"/>
        </w:rPr>
        <w:t xml:space="preserve"> the links between household endowments and value added.</w:t>
      </w:r>
    </w:p>
    <w:p w:rsidR="00C273A1" w:rsidRPr="00506082" w:rsidRDefault="00C273A1" w:rsidP="002B1E64">
      <w:pPr>
        <w:rPr>
          <w:rFonts w:ascii="Times New Roman" w:hAnsi="Times New Roman"/>
          <w:color w:val="FF0000"/>
          <w:sz w:val="20"/>
          <w:szCs w:val="20"/>
          <w:lang w:val="en-IE"/>
        </w:rPr>
      </w:pPr>
    </w:p>
    <w:p w:rsidR="00C273A1" w:rsidRPr="00A0444D" w:rsidRDefault="00C273A1" w:rsidP="00B22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es-ES_tradnl"/>
        </w:rPr>
      </w:pPr>
      <w:r w:rsidRPr="00A0444D">
        <w:rPr>
          <w:rFonts w:ascii="Times New Roman" w:hAnsi="Times New Roman"/>
          <w:sz w:val="20"/>
          <w:szCs w:val="20"/>
          <w:lang w:val="es-ES_tradnl"/>
        </w:rPr>
        <w:t>REFERENCES</w:t>
      </w:r>
      <w:r>
        <w:rPr>
          <w:rFonts w:ascii="Times New Roman" w:hAnsi="Times New Roman"/>
          <w:sz w:val="20"/>
          <w:szCs w:val="20"/>
          <w:lang w:val="es-ES_tradnl"/>
        </w:rPr>
        <w:t xml:space="preserve">    </w:t>
      </w:r>
    </w:p>
    <w:p w:rsidR="00C273A1" w:rsidRPr="00BF4E52" w:rsidRDefault="00C273A1" w:rsidP="00B22992">
      <w:pPr>
        <w:autoSpaceDE w:val="0"/>
        <w:autoSpaceDN w:val="0"/>
        <w:adjustRightInd w:val="0"/>
        <w:spacing w:after="0" w:line="240" w:lineRule="auto"/>
        <w:rPr>
          <w:rFonts w:ascii="Times New Roman" w:hAnsi="Times New Roman"/>
          <w:bCs/>
          <w:color w:val="2C86A0"/>
          <w:sz w:val="20"/>
          <w:szCs w:val="20"/>
          <w:lang w:val="en-IE"/>
        </w:rPr>
      </w:pPr>
      <w:r>
        <w:rPr>
          <w:rFonts w:ascii="Times New Roman" w:hAnsi="Times New Roman"/>
          <w:sz w:val="20"/>
          <w:szCs w:val="20"/>
          <w:lang w:val="en-IE"/>
        </w:rPr>
        <w:t>-</w:t>
      </w:r>
      <w:r w:rsidRPr="00BF4E52">
        <w:rPr>
          <w:rFonts w:ascii="Times New Roman" w:hAnsi="Times New Roman"/>
          <w:sz w:val="20"/>
          <w:szCs w:val="20"/>
          <w:lang w:val="en-IE"/>
        </w:rPr>
        <w:t xml:space="preserve">Alvaredo F., Atkinson A., Chancel L., Piketty T., Saez E., Zucman G. (2016), </w:t>
      </w:r>
      <w:r w:rsidRPr="00BF4E52">
        <w:rPr>
          <w:rFonts w:ascii="Times New Roman" w:hAnsi="Times New Roman"/>
          <w:bCs/>
          <w:sz w:val="20"/>
          <w:szCs w:val="20"/>
          <w:lang w:val="en-IE"/>
        </w:rPr>
        <w:t>Distributional Nation</w:t>
      </w:r>
      <w:r>
        <w:rPr>
          <w:rFonts w:ascii="Times New Roman" w:hAnsi="Times New Roman"/>
          <w:bCs/>
          <w:sz w:val="20"/>
          <w:szCs w:val="20"/>
          <w:lang w:val="en-IE"/>
        </w:rPr>
        <w:t xml:space="preserve">al Accounts (DINA) Guidelines : </w:t>
      </w:r>
      <w:r w:rsidRPr="00BF4E52">
        <w:rPr>
          <w:rFonts w:ascii="Times New Roman" w:hAnsi="Times New Roman"/>
          <w:bCs/>
          <w:sz w:val="20"/>
          <w:szCs w:val="20"/>
          <w:lang w:val="en-IE"/>
        </w:rPr>
        <w:t>Concepts and Methods used in WID.world</w:t>
      </w:r>
      <w:r>
        <w:rPr>
          <w:rFonts w:ascii="Times New Roman" w:hAnsi="Times New Roman"/>
          <w:bCs/>
          <w:sz w:val="20"/>
          <w:szCs w:val="20"/>
          <w:lang w:val="en-IE"/>
        </w:rPr>
        <w:t xml:space="preserve">, </w:t>
      </w:r>
      <w:r w:rsidRPr="00BF4E52">
        <w:rPr>
          <w:rFonts w:ascii="Times New Roman" w:hAnsi="Times New Roman"/>
          <w:iCs/>
          <w:sz w:val="20"/>
          <w:szCs w:val="20"/>
          <w:lang w:val="en-IE"/>
        </w:rPr>
        <w:t>WID.world Working Paper</w:t>
      </w:r>
      <w:r>
        <w:rPr>
          <w:rFonts w:ascii="Times New Roman" w:hAnsi="Times New Roman"/>
          <w:iCs/>
          <w:sz w:val="20"/>
          <w:szCs w:val="20"/>
          <w:lang w:val="en-IE"/>
        </w:rPr>
        <w:t xml:space="preserve"> Series N.2016/1.</w:t>
      </w:r>
    </w:p>
    <w:p w:rsidR="00C273A1" w:rsidRPr="00A0444D" w:rsidRDefault="00C273A1" w:rsidP="00B2299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hAnsi="Times New Roman"/>
          <w:sz w:val="20"/>
          <w:szCs w:val="20"/>
        </w:rPr>
      </w:pPr>
      <w:r w:rsidRPr="00A0444D">
        <w:rPr>
          <w:rFonts w:ascii="Times New Roman" w:hAnsi="Times New Roman"/>
          <w:sz w:val="20"/>
          <w:szCs w:val="20"/>
        </w:rPr>
        <w:t>- Atkinson A.B. (1997)</w:t>
      </w:r>
      <w:r w:rsidRPr="00A0444D">
        <w:rPr>
          <w:rFonts w:ascii="Times New Roman" w:hAnsi="Times New Roman"/>
          <w:sz w:val="20"/>
          <w:szCs w:val="20"/>
          <w:lang w:val="en-GB"/>
        </w:rPr>
        <w:t>, Bringing Income Distribution in from the Cold,</w:t>
      </w:r>
      <w:r w:rsidRPr="00A0444D">
        <w:rPr>
          <w:rFonts w:ascii="Times New Roman" w:hAnsi="Times New Roman"/>
          <w:i/>
          <w:iCs/>
          <w:sz w:val="20"/>
          <w:szCs w:val="20"/>
          <w:lang w:val="en-GB"/>
        </w:rPr>
        <w:t xml:space="preserve"> </w:t>
      </w:r>
      <w:r w:rsidRPr="00A0444D">
        <w:rPr>
          <w:rFonts w:ascii="Times New Roman" w:hAnsi="Times New Roman"/>
          <w:i/>
          <w:sz w:val="20"/>
          <w:szCs w:val="20"/>
          <w:lang w:val="en-GB"/>
        </w:rPr>
        <w:t>The Economic Journal</w:t>
      </w:r>
      <w:r w:rsidRPr="00A0444D">
        <w:rPr>
          <w:rFonts w:ascii="Times New Roman" w:hAnsi="Times New Roman"/>
          <w:sz w:val="20"/>
          <w:szCs w:val="20"/>
          <w:lang w:val="en-GB"/>
        </w:rPr>
        <w:t xml:space="preserve">, vol. 107 (441), pp. 297-321. </w:t>
      </w:r>
      <w:r w:rsidRPr="00A0444D">
        <w:rPr>
          <w:rFonts w:ascii="Times New Roman" w:hAnsi="Times New Roman"/>
          <w:sz w:val="20"/>
          <w:szCs w:val="20"/>
        </w:rPr>
        <w:t>March.</w:t>
      </w:r>
    </w:p>
    <w:p w:rsidR="00C273A1" w:rsidRPr="00A0444D" w:rsidRDefault="00C273A1" w:rsidP="00B22992">
      <w:pPr>
        <w:autoSpaceDE w:val="0"/>
        <w:autoSpaceDN w:val="0"/>
        <w:adjustRightInd w:val="0"/>
        <w:spacing w:after="0" w:line="240" w:lineRule="auto"/>
        <w:rPr>
          <w:rFonts w:ascii="Times New Roman" w:hAnsi="Times New Roman"/>
          <w:sz w:val="20"/>
          <w:szCs w:val="20"/>
          <w:lang w:val="en-IE" w:eastAsia="it-IT"/>
        </w:rPr>
      </w:pPr>
      <w:r w:rsidRPr="00A0444D">
        <w:rPr>
          <w:rFonts w:ascii="Times New Roman" w:hAnsi="Times New Roman"/>
          <w:sz w:val="20"/>
          <w:szCs w:val="20"/>
        </w:rPr>
        <w:t xml:space="preserve">- Atkinson A. (2009), </w:t>
      </w:r>
      <w:r w:rsidRPr="00A0444D">
        <w:rPr>
          <w:rFonts w:ascii="Times New Roman" w:hAnsi="Times New Roman"/>
          <w:bCs/>
          <w:sz w:val="20"/>
          <w:szCs w:val="20"/>
          <w:lang w:val="en-IE" w:eastAsia="it-IT"/>
        </w:rPr>
        <w:t xml:space="preserve">Factor shares: the principal problem of political economy?, </w:t>
      </w:r>
      <w:r w:rsidRPr="00A0444D">
        <w:rPr>
          <w:rFonts w:ascii="Times New Roman" w:hAnsi="Times New Roman"/>
          <w:i/>
          <w:sz w:val="20"/>
          <w:szCs w:val="20"/>
          <w:lang w:val="en-IE" w:eastAsia="it-IT"/>
        </w:rPr>
        <w:t>Oxford Review of Economic Policy</w:t>
      </w:r>
      <w:r w:rsidRPr="00A0444D">
        <w:rPr>
          <w:rFonts w:ascii="Times New Roman" w:hAnsi="Times New Roman"/>
          <w:sz w:val="20"/>
          <w:szCs w:val="20"/>
          <w:lang w:val="en-IE" w:eastAsia="it-IT"/>
        </w:rPr>
        <w:t>, Volume 25, Number 1, 2009, pp.3–16</w:t>
      </w:r>
    </w:p>
    <w:p w:rsidR="00C273A1" w:rsidRPr="00A0444D" w:rsidRDefault="00C273A1" w:rsidP="00B22992">
      <w:pPr>
        <w:autoSpaceDE w:val="0"/>
        <w:autoSpaceDN w:val="0"/>
        <w:adjustRightInd w:val="0"/>
        <w:spacing w:after="0" w:line="240" w:lineRule="auto"/>
        <w:rPr>
          <w:rFonts w:ascii="Times New Roman" w:hAnsi="Times New Roman"/>
          <w:bCs/>
          <w:sz w:val="20"/>
          <w:szCs w:val="20"/>
          <w:lang w:val="en-IE" w:eastAsia="it-IT"/>
        </w:rPr>
      </w:pPr>
      <w:r w:rsidRPr="00A0444D">
        <w:rPr>
          <w:rFonts w:ascii="Times New Roman" w:hAnsi="Times New Roman"/>
          <w:bCs/>
          <w:sz w:val="20"/>
          <w:szCs w:val="20"/>
          <w:lang w:val="en-IE" w:eastAsia="it-IT"/>
        </w:rPr>
        <w:t>http://piketty.pse.ens.fr/files/Atkinson09.pdf</w:t>
      </w:r>
    </w:p>
    <w:p w:rsidR="00C273A1" w:rsidRPr="00A0444D" w:rsidRDefault="00C273A1" w:rsidP="00B22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A0444D">
        <w:rPr>
          <w:rFonts w:ascii="Times New Roman" w:hAnsi="Times New Roman"/>
          <w:sz w:val="20"/>
          <w:szCs w:val="20"/>
        </w:rPr>
        <w:t>- Atkinson A.B. (2015), Inequality. What Can Be Done? Cambridge MA: Harvard University Press.</w:t>
      </w:r>
    </w:p>
    <w:p w:rsidR="00C273A1" w:rsidRPr="007260AC" w:rsidRDefault="00C273A1" w:rsidP="00B22992">
      <w:pPr>
        <w:spacing w:after="0" w:line="240" w:lineRule="auto"/>
        <w:jc w:val="both"/>
        <w:rPr>
          <w:rFonts w:ascii="Times New Roman" w:hAnsi="Times New Roman"/>
          <w:sz w:val="20"/>
          <w:szCs w:val="20"/>
          <w:lang w:val="en-IE"/>
        </w:rPr>
      </w:pPr>
      <w:r w:rsidRPr="007260AC">
        <w:rPr>
          <w:rFonts w:ascii="Times New Roman" w:hAnsi="Times New Roman"/>
          <w:sz w:val="20"/>
          <w:szCs w:val="20"/>
          <w:lang w:val="en-IE"/>
        </w:rPr>
        <w:t>- Atkinson A., Bourguignon (2000), Income Distribution and Economics., in: Atkinson A., Bourguignon F., editors, Handbook of Income Distribution, vol</w:t>
      </w:r>
      <w:r>
        <w:rPr>
          <w:rFonts w:ascii="Times New Roman" w:hAnsi="Times New Roman"/>
          <w:sz w:val="20"/>
          <w:szCs w:val="20"/>
          <w:lang w:val="en-IE"/>
        </w:rPr>
        <w:t xml:space="preserve"> </w:t>
      </w:r>
      <w:r w:rsidRPr="007260AC">
        <w:rPr>
          <w:rFonts w:ascii="Times New Roman" w:hAnsi="Times New Roman"/>
          <w:sz w:val="20"/>
          <w:szCs w:val="20"/>
          <w:lang w:val="en-IE"/>
        </w:rPr>
        <w:t>.I, Amsterdam, The Netherlands, North-Holland, pp.1-13.</w:t>
      </w:r>
    </w:p>
    <w:p w:rsidR="00C273A1" w:rsidRPr="008726B3" w:rsidRDefault="00C273A1" w:rsidP="00B22992">
      <w:pPr>
        <w:autoSpaceDE w:val="0"/>
        <w:autoSpaceDN w:val="0"/>
        <w:adjustRightInd w:val="0"/>
        <w:spacing w:after="0" w:line="240" w:lineRule="auto"/>
        <w:jc w:val="both"/>
        <w:rPr>
          <w:rFonts w:ascii="Times New Roman" w:hAnsi="Times New Roman"/>
          <w:color w:val="000000"/>
          <w:sz w:val="20"/>
          <w:szCs w:val="20"/>
          <w:lang w:val="en-IE"/>
        </w:rPr>
      </w:pPr>
      <w:r w:rsidRPr="008726B3">
        <w:rPr>
          <w:rFonts w:ascii="Times New Roman" w:hAnsi="Times New Roman"/>
          <w:bCs/>
          <w:color w:val="000000"/>
          <w:sz w:val="20"/>
          <w:szCs w:val="20"/>
          <w:lang w:val="en-IE"/>
        </w:rPr>
        <w:t>-Bourguignon F. (2015)</w:t>
      </w:r>
      <w:r>
        <w:rPr>
          <w:rFonts w:ascii="Times New Roman" w:hAnsi="Times New Roman"/>
          <w:color w:val="000000"/>
          <w:sz w:val="20"/>
          <w:szCs w:val="20"/>
          <w:lang w:val="en-IE"/>
        </w:rPr>
        <w:t xml:space="preserve">, </w:t>
      </w:r>
      <w:r w:rsidRPr="008726B3">
        <w:rPr>
          <w:rFonts w:ascii="Times New Roman" w:hAnsi="Times New Roman"/>
          <w:color w:val="000000"/>
          <w:sz w:val="20"/>
          <w:szCs w:val="20"/>
          <w:lang w:val="en-IE"/>
        </w:rPr>
        <w:t>Reconciling Surv</w:t>
      </w:r>
      <w:r>
        <w:rPr>
          <w:rFonts w:ascii="Times New Roman" w:hAnsi="Times New Roman"/>
          <w:color w:val="000000"/>
          <w:sz w:val="20"/>
          <w:szCs w:val="20"/>
          <w:lang w:val="en-IE"/>
        </w:rPr>
        <w:t xml:space="preserve">ey Data with National Accounts, in: </w:t>
      </w:r>
      <w:r>
        <w:rPr>
          <w:rFonts w:ascii="Times New Roman" w:hAnsi="Times New Roman"/>
          <w:bCs/>
          <w:color w:val="000000"/>
          <w:sz w:val="20"/>
          <w:szCs w:val="20"/>
          <w:lang w:val="en-IE"/>
        </w:rPr>
        <w:t xml:space="preserve">OECD (2015), </w:t>
      </w:r>
      <w:r w:rsidRPr="008726B3">
        <w:rPr>
          <w:rFonts w:ascii="Times New Roman" w:hAnsi="Times New Roman"/>
          <w:bCs/>
          <w:color w:val="000000"/>
          <w:sz w:val="20"/>
          <w:szCs w:val="20"/>
          <w:lang w:val="en-IE"/>
        </w:rPr>
        <w:t xml:space="preserve">Workshop on Measuring Inequalities of Income and Wealth, </w:t>
      </w:r>
      <w:r>
        <w:rPr>
          <w:rFonts w:ascii="Times New Roman" w:hAnsi="Times New Roman"/>
          <w:bCs/>
          <w:color w:val="000000"/>
          <w:sz w:val="20"/>
          <w:szCs w:val="20"/>
          <w:lang w:val="en-IE"/>
        </w:rPr>
        <w:t xml:space="preserve"> </w:t>
      </w:r>
      <w:r w:rsidRPr="008726B3">
        <w:rPr>
          <w:rFonts w:ascii="Times New Roman" w:hAnsi="Times New Roman"/>
          <w:color w:val="000000"/>
          <w:sz w:val="20"/>
          <w:szCs w:val="20"/>
          <w:lang w:val="en-IE"/>
        </w:rPr>
        <w:t xml:space="preserve">Bertelsmann, Unter den Linden 1, 10117 Berlin, Germany </w:t>
      </w:r>
      <w:r w:rsidRPr="008726B3">
        <w:rPr>
          <w:rFonts w:ascii="Times New Roman" w:hAnsi="Times New Roman"/>
          <w:bCs/>
          <w:color w:val="000000"/>
          <w:sz w:val="20"/>
          <w:szCs w:val="20"/>
          <w:lang w:val="en-IE"/>
        </w:rPr>
        <w:t>15-16 September</w:t>
      </w:r>
    </w:p>
    <w:p w:rsidR="00C273A1" w:rsidRPr="00A0444D" w:rsidRDefault="00C273A1" w:rsidP="00B22992">
      <w:pPr>
        <w:spacing w:after="0" w:line="240" w:lineRule="auto"/>
        <w:jc w:val="both"/>
        <w:rPr>
          <w:rFonts w:ascii="Times New Roman" w:hAnsi="Times New Roman"/>
          <w:sz w:val="20"/>
          <w:szCs w:val="20"/>
          <w:highlight w:val="yellow"/>
          <w:lang w:val="it-IT"/>
        </w:rPr>
      </w:pPr>
      <w:r w:rsidRPr="00A0444D">
        <w:rPr>
          <w:rFonts w:ascii="Times New Roman" w:hAnsi="Times New Roman"/>
          <w:sz w:val="20"/>
          <w:szCs w:val="20"/>
          <w:lang w:val="it-IT"/>
        </w:rPr>
        <w:t xml:space="preserve">- Bottiroli Civardi M., Targetti Lenti R. (1980), </w:t>
      </w:r>
      <w:r w:rsidRPr="00A0444D">
        <w:rPr>
          <w:rFonts w:ascii="Times New Roman" w:hAnsi="Times New Roman"/>
          <w:iCs/>
          <w:snapToGrid w:val="0"/>
          <w:sz w:val="20"/>
          <w:szCs w:val="20"/>
          <w:lang w:val="it-IT"/>
        </w:rPr>
        <w:t>Relazion</w:t>
      </w:r>
      <w:r w:rsidRPr="00A65B7E">
        <w:rPr>
          <w:rFonts w:ascii="Times New Roman" w:hAnsi="Times New Roman"/>
          <w:iCs/>
          <w:snapToGrid w:val="0"/>
          <w:sz w:val="20"/>
          <w:szCs w:val="20"/>
          <w:lang w:val="it-IT"/>
        </w:rPr>
        <w:t>i</w:t>
      </w:r>
      <w:r w:rsidRPr="00A0444D">
        <w:rPr>
          <w:rFonts w:ascii="Times New Roman" w:hAnsi="Times New Roman"/>
          <w:iCs/>
          <w:snapToGrid w:val="0"/>
          <w:sz w:val="20"/>
          <w:szCs w:val="20"/>
          <w:lang w:val="it-IT"/>
        </w:rPr>
        <w:t xml:space="preserve"> tra distribuzione personale e distribuzione funzionale dei redditi: uno schema d’analisi,</w:t>
      </w:r>
      <w:r w:rsidRPr="00A0444D">
        <w:rPr>
          <w:rFonts w:ascii="Times New Roman" w:hAnsi="Times New Roman"/>
          <w:snapToGrid w:val="0"/>
          <w:sz w:val="20"/>
          <w:szCs w:val="20"/>
          <w:lang w:val="it-IT"/>
        </w:rPr>
        <w:t xml:space="preserve"> </w:t>
      </w:r>
      <w:r w:rsidRPr="00A0444D">
        <w:rPr>
          <w:rFonts w:ascii="Times New Roman" w:hAnsi="Times New Roman"/>
          <w:i/>
          <w:snapToGrid w:val="0"/>
          <w:sz w:val="20"/>
          <w:szCs w:val="20"/>
          <w:lang w:val="it-IT"/>
        </w:rPr>
        <w:t>Giornale degli Economisti e Annali di Economia</w:t>
      </w:r>
      <w:r w:rsidRPr="00A0444D">
        <w:rPr>
          <w:rFonts w:ascii="Times New Roman" w:hAnsi="Times New Roman"/>
          <w:snapToGrid w:val="0"/>
          <w:sz w:val="20"/>
          <w:szCs w:val="20"/>
          <w:lang w:val="it-IT"/>
        </w:rPr>
        <w:t>, novembre-dicembre, pp 705-737.</w:t>
      </w:r>
    </w:p>
    <w:p w:rsidR="00C273A1" w:rsidRPr="007007D5" w:rsidRDefault="00C273A1" w:rsidP="00B22992">
      <w:pPr>
        <w:keepNext/>
        <w:keepLines/>
        <w:widowControl w:val="0"/>
        <w:spacing w:after="0"/>
        <w:ind w:right="113"/>
        <w:jc w:val="both"/>
        <w:rPr>
          <w:rFonts w:ascii="Times New Roman" w:hAnsi="Times New Roman"/>
          <w:snapToGrid w:val="0"/>
          <w:sz w:val="20"/>
          <w:szCs w:val="20"/>
          <w:lang w:val="en-GB"/>
        </w:rPr>
      </w:pPr>
      <w:r w:rsidRPr="007007D5">
        <w:rPr>
          <w:rFonts w:ascii="Times New Roman" w:hAnsi="Times New Roman"/>
          <w:snapToGrid w:val="0"/>
          <w:sz w:val="20"/>
          <w:szCs w:val="20"/>
          <w:lang w:val="en-GB"/>
        </w:rPr>
        <w:t>- Bottir</w:t>
      </w:r>
      <w:r>
        <w:rPr>
          <w:rFonts w:ascii="Times New Roman" w:hAnsi="Times New Roman"/>
          <w:snapToGrid w:val="0"/>
          <w:sz w:val="20"/>
          <w:szCs w:val="20"/>
          <w:lang w:val="en-GB"/>
        </w:rPr>
        <w:t>o</w:t>
      </w:r>
      <w:r w:rsidRPr="007007D5">
        <w:rPr>
          <w:rFonts w:ascii="Times New Roman" w:hAnsi="Times New Roman"/>
          <w:snapToGrid w:val="0"/>
          <w:sz w:val="20"/>
          <w:szCs w:val="20"/>
          <w:lang w:val="en-GB"/>
        </w:rPr>
        <w:t>li Civardi M., Targetti Lenti (1988),</w:t>
      </w:r>
      <w:r w:rsidRPr="007007D5">
        <w:rPr>
          <w:rFonts w:ascii="Times New Roman" w:hAnsi="Times New Roman"/>
          <w:noProof/>
          <w:sz w:val="20"/>
          <w:szCs w:val="20"/>
          <w:lang w:val="en-GB"/>
        </w:rPr>
        <w:t xml:space="preserve"> The distribution of Personal Income at the Sectoral Level in Italy: A SAM model</w:t>
      </w:r>
      <w:r>
        <w:rPr>
          <w:rFonts w:ascii="Times New Roman" w:hAnsi="Times New Roman"/>
          <w:noProof/>
          <w:sz w:val="20"/>
          <w:szCs w:val="20"/>
          <w:lang w:val="en-GB"/>
        </w:rPr>
        <w:t xml:space="preserve">, </w:t>
      </w:r>
      <w:r w:rsidRPr="007007D5">
        <w:rPr>
          <w:rFonts w:ascii="Times New Roman" w:hAnsi="Times New Roman"/>
          <w:i/>
          <w:noProof/>
          <w:sz w:val="20"/>
          <w:szCs w:val="20"/>
          <w:lang w:val="en-GB"/>
        </w:rPr>
        <w:t>Journal of Policy Modeling</w:t>
      </w:r>
      <w:r w:rsidRPr="007007D5">
        <w:rPr>
          <w:rFonts w:ascii="Times New Roman" w:hAnsi="Times New Roman"/>
          <w:noProof/>
          <w:sz w:val="20"/>
          <w:szCs w:val="20"/>
          <w:lang w:val="en-GB"/>
        </w:rPr>
        <w:t>, 10(3), pp. 453-468</w:t>
      </w:r>
      <w:r>
        <w:rPr>
          <w:rFonts w:ascii="Times New Roman" w:hAnsi="Times New Roman"/>
          <w:noProof/>
          <w:sz w:val="20"/>
          <w:szCs w:val="20"/>
          <w:lang w:val="en-GB"/>
        </w:rPr>
        <w:t>.</w:t>
      </w:r>
    </w:p>
    <w:p w:rsidR="00C273A1" w:rsidRPr="007007D5" w:rsidRDefault="00C273A1" w:rsidP="00B22992">
      <w:pPr>
        <w:spacing w:after="0"/>
        <w:ind w:right="113"/>
        <w:jc w:val="both"/>
        <w:rPr>
          <w:rFonts w:ascii="Times New Roman" w:hAnsi="Times New Roman"/>
          <w:snapToGrid w:val="0"/>
          <w:sz w:val="20"/>
          <w:szCs w:val="20"/>
          <w:lang w:val="en-GB"/>
        </w:rPr>
      </w:pPr>
      <w:r>
        <w:rPr>
          <w:rFonts w:ascii="Times New Roman" w:hAnsi="Times New Roman"/>
          <w:snapToGrid w:val="0"/>
          <w:sz w:val="20"/>
          <w:szCs w:val="20"/>
          <w:lang w:val="en-GB"/>
        </w:rPr>
        <w:t>- Bottiro</w:t>
      </w:r>
      <w:r w:rsidRPr="007007D5">
        <w:rPr>
          <w:rFonts w:ascii="Times New Roman" w:hAnsi="Times New Roman"/>
          <w:snapToGrid w:val="0"/>
          <w:sz w:val="20"/>
          <w:szCs w:val="20"/>
          <w:lang w:val="en-GB"/>
        </w:rPr>
        <w:t>li Civardi M., Targetti Lenti</w:t>
      </w:r>
      <w:r>
        <w:rPr>
          <w:rFonts w:ascii="Times New Roman" w:hAnsi="Times New Roman"/>
          <w:snapToGrid w:val="0"/>
          <w:sz w:val="20"/>
          <w:szCs w:val="20"/>
          <w:lang w:val="en-GB"/>
        </w:rPr>
        <w:t xml:space="preserve"> (1990),</w:t>
      </w:r>
      <w:r w:rsidRPr="007007D5">
        <w:rPr>
          <w:rFonts w:ascii="Times New Roman" w:hAnsi="Times New Roman"/>
          <w:snapToGrid w:val="0"/>
          <w:sz w:val="20"/>
          <w:szCs w:val="20"/>
          <w:lang w:val="en-GB"/>
        </w:rPr>
        <w:t xml:space="preserve"> Income Distribution and the Structure of the Economic System: a SAM Approach, in: Dagum, M. Zenga (editors), Studies in Contemporary Economics, Springer-Verlag, Berlino, pp. 57-71.</w:t>
      </w:r>
    </w:p>
    <w:p w:rsidR="00C273A1" w:rsidRPr="007007D5" w:rsidRDefault="00C273A1" w:rsidP="00B22992">
      <w:pPr>
        <w:spacing w:after="0"/>
        <w:jc w:val="both"/>
        <w:rPr>
          <w:rFonts w:ascii="Times New Roman" w:hAnsi="Times New Roman"/>
          <w:sz w:val="20"/>
          <w:szCs w:val="20"/>
          <w:lang w:val="en-GB"/>
        </w:rPr>
      </w:pPr>
      <w:r>
        <w:rPr>
          <w:rFonts w:ascii="Times New Roman" w:hAnsi="Times New Roman"/>
          <w:snapToGrid w:val="0"/>
          <w:sz w:val="20"/>
          <w:szCs w:val="20"/>
          <w:lang w:val="en-GB"/>
        </w:rPr>
        <w:t>- Bottiro</w:t>
      </w:r>
      <w:r w:rsidRPr="007007D5">
        <w:rPr>
          <w:rFonts w:ascii="Times New Roman" w:hAnsi="Times New Roman"/>
          <w:snapToGrid w:val="0"/>
          <w:sz w:val="20"/>
          <w:szCs w:val="20"/>
          <w:lang w:val="en-GB"/>
        </w:rPr>
        <w:t>li Civardi M., Targetti Lenti</w:t>
      </w:r>
      <w:r w:rsidRPr="00B22992">
        <w:rPr>
          <w:rFonts w:ascii="Times New Roman" w:hAnsi="Times New Roman"/>
          <w:noProof/>
          <w:sz w:val="20"/>
          <w:szCs w:val="20"/>
          <w:lang w:val="en-GB"/>
        </w:rPr>
        <w:t xml:space="preserve"> (1992)</w:t>
      </w:r>
      <w:r>
        <w:rPr>
          <w:rFonts w:ascii="Times New Roman" w:hAnsi="Times New Roman"/>
          <w:i/>
          <w:noProof/>
          <w:sz w:val="20"/>
          <w:szCs w:val="20"/>
          <w:lang w:val="en-GB"/>
        </w:rPr>
        <w:t xml:space="preserve">, </w:t>
      </w:r>
      <w:r w:rsidRPr="007007D5">
        <w:rPr>
          <w:rFonts w:ascii="Times New Roman" w:hAnsi="Times New Roman"/>
          <w:noProof/>
          <w:sz w:val="20"/>
          <w:szCs w:val="20"/>
          <w:lang w:val="en-GB"/>
        </w:rPr>
        <w:t>CGE Models Based on SAM’s Approach: Simulation for the Italian Economic System,</w:t>
      </w:r>
      <w:r>
        <w:rPr>
          <w:rFonts w:ascii="Times New Roman" w:hAnsi="Times New Roman"/>
          <w:noProof/>
          <w:sz w:val="20"/>
          <w:szCs w:val="20"/>
          <w:lang w:val="en-GB"/>
        </w:rPr>
        <w:t xml:space="preserve"> </w:t>
      </w:r>
      <w:r w:rsidRPr="007007D5">
        <w:rPr>
          <w:rFonts w:ascii="Times New Roman" w:hAnsi="Times New Roman"/>
          <w:i/>
          <w:noProof/>
          <w:sz w:val="20"/>
          <w:szCs w:val="20"/>
          <w:lang w:val="en-GB"/>
        </w:rPr>
        <w:t>Economic Notes</w:t>
      </w:r>
      <w:r>
        <w:rPr>
          <w:rFonts w:ascii="Times New Roman" w:hAnsi="Times New Roman"/>
          <w:noProof/>
          <w:sz w:val="20"/>
          <w:szCs w:val="20"/>
          <w:lang w:val="en-GB"/>
        </w:rPr>
        <w:t>, vol.21, n.3,</w:t>
      </w:r>
      <w:r w:rsidRPr="007007D5">
        <w:rPr>
          <w:rFonts w:ascii="Times New Roman" w:hAnsi="Times New Roman"/>
          <w:noProof/>
          <w:sz w:val="20"/>
          <w:szCs w:val="20"/>
          <w:lang w:val="en-GB"/>
        </w:rPr>
        <w:t xml:space="preserve"> pp. 526-565.</w:t>
      </w:r>
    </w:p>
    <w:p w:rsidR="00C273A1" w:rsidRPr="007007D5" w:rsidRDefault="00C273A1" w:rsidP="00B22992">
      <w:pPr>
        <w:autoSpaceDE w:val="0"/>
        <w:autoSpaceDN w:val="0"/>
        <w:adjustRightInd w:val="0"/>
        <w:spacing w:after="0"/>
        <w:jc w:val="both"/>
        <w:rPr>
          <w:rFonts w:ascii="Times New Roman" w:hAnsi="Times New Roman"/>
          <w:sz w:val="20"/>
          <w:szCs w:val="20"/>
          <w:lang w:val="it-IT"/>
        </w:rPr>
      </w:pPr>
      <w:r w:rsidRPr="007007D5">
        <w:rPr>
          <w:rFonts w:ascii="Times New Roman" w:hAnsi="Times New Roman"/>
          <w:sz w:val="20"/>
          <w:szCs w:val="20"/>
          <w:lang w:val="it-IT"/>
        </w:rPr>
        <w:t xml:space="preserve">- </w:t>
      </w:r>
      <w:r>
        <w:rPr>
          <w:rFonts w:ascii="Times New Roman" w:hAnsi="Times New Roman"/>
          <w:snapToGrid w:val="0"/>
          <w:sz w:val="20"/>
          <w:szCs w:val="20"/>
          <w:lang w:val="it-IT"/>
        </w:rPr>
        <w:t>Bottiro</w:t>
      </w:r>
      <w:r w:rsidRPr="007007D5">
        <w:rPr>
          <w:rFonts w:ascii="Times New Roman" w:hAnsi="Times New Roman"/>
          <w:snapToGrid w:val="0"/>
          <w:sz w:val="20"/>
          <w:szCs w:val="20"/>
          <w:lang w:val="it-IT"/>
        </w:rPr>
        <w:t>li Civardi M., Targetti Lenti</w:t>
      </w:r>
      <w:r>
        <w:rPr>
          <w:rFonts w:ascii="Times New Roman" w:hAnsi="Times New Roman"/>
          <w:snapToGrid w:val="0"/>
          <w:sz w:val="20"/>
          <w:szCs w:val="20"/>
          <w:lang w:val="it-IT"/>
        </w:rPr>
        <w:t xml:space="preserve"> (2008)</w:t>
      </w:r>
      <w:r w:rsidRPr="007007D5">
        <w:rPr>
          <w:rFonts w:ascii="Times New Roman" w:hAnsi="Times New Roman"/>
          <w:sz w:val="20"/>
          <w:szCs w:val="20"/>
          <w:lang w:val="it-IT"/>
        </w:rPr>
        <w:t>, Multiplier Decomposition, Inequality and Poverty in a SAM Framework</w:t>
      </w:r>
      <w:r w:rsidRPr="007007D5">
        <w:rPr>
          <w:rFonts w:ascii="Times New Roman" w:hAnsi="Times New Roman"/>
          <w:i/>
          <w:sz w:val="20"/>
          <w:szCs w:val="20"/>
          <w:lang w:val="it-IT"/>
        </w:rPr>
        <w:t>, Rivista di Statistica Ufficiale</w:t>
      </w:r>
      <w:r w:rsidRPr="007007D5">
        <w:rPr>
          <w:rFonts w:ascii="Times New Roman" w:hAnsi="Times New Roman"/>
          <w:sz w:val="20"/>
          <w:szCs w:val="20"/>
          <w:lang w:val="it-IT"/>
        </w:rPr>
        <w:t>, n.1, pp.31-5</w:t>
      </w:r>
      <w:r>
        <w:rPr>
          <w:rFonts w:ascii="Times New Roman" w:hAnsi="Times New Roman"/>
          <w:sz w:val="20"/>
          <w:szCs w:val="20"/>
          <w:lang w:val="it-IT"/>
        </w:rPr>
        <w:t>.</w:t>
      </w:r>
    </w:p>
    <w:p w:rsidR="00C273A1" w:rsidRPr="00A0444D" w:rsidRDefault="00C273A1" w:rsidP="00B22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0"/>
          <w:szCs w:val="20"/>
          <w:lang w:val="en-IE"/>
        </w:rPr>
      </w:pPr>
      <w:r w:rsidRPr="00A0444D">
        <w:rPr>
          <w:rFonts w:ascii="Times New Roman" w:hAnsi="Times New Roman"/>
          <w:sz w:val="20"/>
          <w:szCs w:val="20"/>
          <w:lang w:val="en-IE"/>
        </w:rPr>
        <w:t>- Brandolini A. (199</w:t>
      </w:r>
      <w:r w:rsidRPr="00A0444D">
        <w:rPr>
          <w:rFonts w:ascii="Times New Roman" w:hAnsi="Times New Roman"/>
          <w:color w:val="000000"/>
          <w:sz w:val="20"/>
          <w:szCs w:val="20"/>
          <w:lang w:val="en-IE"/>
        </w:rPr>
        <w:t>2), Nonlinear dynamics, entitlement rules, and the cyclical behaviour</w:t>
      </w:r>
      <w:r>
        <w:rPr>
          <w:rFonts w:ascii="Times New Roman" w:hAnsi="Times New Roman"/>
          <w:color w:val="000000"/>
          <w:sz w:val="20"/>
          <w:szCs w:val="20"/>
          <w:lang w:val="en-IE"/>
        </w:rPr>
        <w:t xml:space="preserve"> </w:t>
      </w:r>
      <w:r w:rsidRPr="00A0444D">
        <w:rPr>
          <w:rFonts w:ascii="Times New Roman" w:hAnsi="Times New Roman"/>
          <w:color w:val="000000"/>
          <w:sz w:val="20"/>
          <w:szCs w:val="20"/>
          <w:lang w:val="en-IE"/>
        </w:rPr>
        <w:t xml:space="preserve">of the personal income distribution, </w:t>
      </w:r>
      <w:r w:rsidRPr="00A0444D">
        <w:rPr>
          <w:rFonts w:ascii="Times New Roman" w:hAnsi="Times New Roman"/>
          <w:i/>
          <w:color w:val="000000"/>
          <w:sz w:val="20"/>
          <w:szCs w:val="20"/>
          <w:lang w:val="en-IE"/>
        </w:rPr>
        <w:t>ERSC LSE Discussion Paper No. 84</w:t>
      </w:r>
      <w:r w:rsidRPr="00A0444D">
        <w:rPr>
          <w:rFonts w:ascii="Times New Roman" w:hAnsi="Times New Roman"/>
          <w:color w:val="000000"/>
          <w:sz w:val="20"/>
          <w:szCs w:val="20"/>
          <w:lang w:val="en-IE"/>
        </w:rPr>
        <w:t>, July.</w:t>
      </w:r>
    </w:p>
    <w:p w:rsidR="00C273A1" w:rsidRDefault="00C273A1" w:rsidP="00B22992">
      <w:pPr>
        <w:autoSpaceDE w:val="0"/>
        <w:autoSpaceDN w:val="0"/>
        <w:adjustRightInd w:val="0"/>
        <w:spacing w:after="0" w:line="240" w:lineRule="auto"/>
        <w:jc w:val="both"/>
        <w:rPr>
          <w:rFonts w:ascii="Times New Roman" w:eastAsia="Arial Unicode MS" w:hAnsi="Times New Roman"/>
          <w:sz w:val="20"/>
          <w:szCs w:val="20"/>
          <w:lang w:val="en-IE" w:eastAsia="it-IT"/>
        </w:rPr>
      </w:pPr>
      <w:r w:rsidRPr="00EB4FB2">
        <w:rPr>
          <w:rFonts w:ascii="Times New Roman" w:eastAsia="Arial Unicode MS" w:hAnsi="Times New Roman"/>
          <w:sz w:val="20"/>
          <w:szCs w:val="20"/>
          <w:lang w:val="en-IE" w:eastAsia="it-IT"/>
        </w:rPr>
        <w:t xml:space="preserve">-Boushey H., DeLong B.J., Steinbaum,M. (2017), </w:t>
      </w:r>
      <w:r w:rsidRPr="00EB4FB2">
        <w:rPr>
          <w:rFonts w:ascii="Times New Roman" w:hAnsi="Times New Roman"/>
          <w:sz w:val="20"/>
          <w:szCs w:val="20"/>
          <w:lang w:val="en-IE" w:eastAsia="it-IT"/>
        </w:rPr>
        <w:t xml:space="preserve">After Piketty : the agenda for economics and inequality, </w:t>
      </w:r>
      <w:r w:rsidRPr="00EB4FB2">
        <w:rPr>
          <w:rFonts w:ascii="Times New Roman" w:eastAsia="Arial Unicode MS" w:hAnsi="Times New Roman"/>
          <w:sz w:val="20"/>
          <w:szCs w:val="20"/>
          <w:lang w:val="en-IE" w:eastAsia="it-IT"/>
        </w:rPr>
        <w:t>Cambridge, Massachusetts: Harvard University Press</w:t>
      </w:r>
    </w:p>
    <w:p w:rsidR="00C273A1" w:rsidRPr="007C5D77" w:rsidRDefault="00C273A1" w:rsidP="007C5D77">
      <w:pPr>
        <w:spacing w:after="0"/>
        <w:jc w:val="both"/>
        <w:rPr>
          <w:rFonts w:ascii="Times New Roman" w:hAnsi="Times New Roman"/>
          <w:sz w:val="20"/>
          <w:szCs w:val="20"/>
          <w:lang w:eastAsia="it-IT"/>
        </w:rPr>
      </w:pPr>
      <w:r w:rsidRPr="007007D5">
        <w:rPr>
          <w:rFonts w:ascii="Times New Roman" w:hAnsi="Times New Roman"/>
          <w:i/>
          <w:sz w:val="20"/>
          <w:szCs w:val="20"/>
          <w:lang w:val="en-GB"/>
        </w:rPr>
        <w:t>-</w:t>
      </w:r>
      <w:r>
        <w:rPr>
          <w:rFonts w:ascii="Times New Roman" w:hAnsi="Times New Roman"/>
          <w:snapToGrid w:val="0"/>
          <w:sz w:val="20"/>
          <w:szCs w:val="20"/>
          <w:lang w:val="en-GB"/>
        </w:rPr>
        <w:t xml:space="preserve"> </w:t>
      </w:r>
      <w:r w:rsidRPr="007007D5">
        <w:rPr>
          <w:rFonts w:ascii="Times New Roman" w:hAnsi="Times New Roman"/>
          <w:snapToGrid w:val="0"/>
          <w:sz w:val="20"/>
          <w:szCs w:val="20"/>
          <w:lang w:val="en-GB"/>
        </w:rPr>
        <w:t>Civardi M., Targetti Lenti</w:t>
      </w:r>
      <w:r>
        <w:rPr>
          <w:rFonts w:ascii="Times New Roman" w:hAnsi="Times New Roman"/>
          <w:snapToGrid w:val="0"/>
          <w:sz w:val="20"/>
          <w:szCs w:val="20"/>
          <w:lang w:val="en-GB"/>
        </w:rPr>
        <w:t xml:space="preserve">, Vega Pansini R. (2010), </w:t>
      </w:r>
      <w:r w:rsidRPr="00EB4FB2">
        <w:rPr>
          <w:rFonts w:ascii="Times New Roman" w:hAnsi="Times New Roman"/>
          <w:sz w:val="20"/>
          <w:szCs w:val="20"/>
          <w:lang w:val="en-GB"/>
        </w:rPr>
        <w:t>Extensions to the Multiplier Decomposition Approach in a SAM Framework: An Application to Vietnam,</w:t>
      </w:r>
      <w:r w:rsidRPr="007007D5">
        <w:rPr>
          <w:rFonts w:ascii="Times New Roman" w:hAnsi="Times New Roman"/>
          <w:sz w:val="20"/>
          <w:szCs w:val="20"/>
          <w:lang w:val="en-GB"/>
        </w:rPr>
        <w:t xml:space="preserve"> </w:t>
      </w:r>
      <w:r w:rsidRPr="00EB4FB2">
        <w:rPr>
          <w:rFonts w:ascii="Times New Roman" w:hAnsi="Times New Roman"/>
          <w:i/>
          <w:sz w:val="20"/>
          <w:szCs w:val="20"/>
          <w:lang w:val="en-GB"/>
        </w:rPr>
        <w:t>Economic Systems Research</w:t>
      </w:r>
      <w:r w:rsidRPr="007007D5">
        <w:rPr>
          <w:rFonts w:ascii="Times New Roman" w:hAnsi="Times New Roman"/>
          <w:sz w:val="20"/>
          <w:szCs w:val="20"/>
          <w:lang w:val="en-GB"/>
        </w:rPr>
        <w:t xml:space="preserve">, Vol.22, No 2, pp.111-128. </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 Dagum C. (1999), Linking the functional and personal distributions of income</w:t>
      </w:r>
      <w:r w:rsidRPr="00A0444D">
        <w:rPr>
          <w:i/>
          <w:color w:val="auto"/>
          <w:sz w:val="20"/>
          <w:szCs w:val="20"/>
        </w:rPr>
        <w:t xml:space="preserve"> </w:t>
      </w:r>
      <w:r w:rsidRPr="00A0444D">
        <w:rPr>
          <w:color w:val="auto"/>
          <w:sz w:val="20"/>
          <w:szCs w:val="20"/>
        </w:rPr>
        <w:t xml:space="preserve">in:  Silber J. (ed.), </w:t>
      </w:r>
      <w:r w:rsidRPr="00A0444D">
        <w:rPr>
          <w:i/>
          <w:color w:val="auto"/>
          <w:sz w:val="20"/>
          <w:szCs w:val="20"/>
        </w:rPr>
        <w:t>Handbook of income inequality Measurement</w:t>
      </w:r>
      <w:r w:rsidRPr="00A0444D">
        <w:rPr>
          <w:color w:val="auto"/>
          <w:sz w:val="20"/>
          <w:szCs w:val="20"/>
        </w:rPr>
        <w:t>, chap.10, pp.101-132, Boston: Kluwer.</w:t>
      </w:r>
    </w:p>
    <w:p w:rsidR="00C273A1" w:rsidRPr="009E2F8E" w:rsidRDefault="00C273A1" w:rsidP="00B22992">
      <w:pPr>
        <w:pStyle w:val="Default"/>
        <w:keepLines/>
        <w:widowControl w:val="0"/>
        <w:jc w:val="both"/>
        <w:rPr>
          <w:sz w:val="20"/>
          <w:szCs w:val="20"/>
        </w:rPr>
      </w:pPr>
      <w:r w:rsidRPr="009E2F8E">
        <w:rPr>
          <w:sz w:val="20"/>
          <w:szCs w:val="20"/>
        </w:rPr>
        <w:t>-Kuznets S. (1953), Shares of Upper Income Groups in Income and Savings, National Bureau of Economic Research, NewYork: NBER, at</w:t>
      </w:r>
    </w:p>
    <w:p w:rsidR="00C273A1" w:rsidRPr="009E2F8E" w:rsidRDefault="00C273A1" w:rsidP="00B22992">
      <w:pPr>
        <w:pStyle w:val="Default"/>
        <w:keepLines/>
        <w:widowControl w:val="0"/>
        <w:jc w:val="both"/>
        <w:rPr>
          <w:sz w:val="20"/>
          <w:szCs w:val="20"/>
        </w:rPr>
      </w:pPr>
      <w:r w:rsidRPr="009E2F8E">
        <w:rPr>
          <w:sz w:val="20"/>
          <w:szCs w:val="20"/>
        </w:rPr>
        <w:t>http://www.nber.org/books/kuzn53-1</w:t>
      </w:r>
    </w:p>
    <w:p w:rsidR="00C273A1" w:rsidRPr="009C2179" w:rsidRDefault="00C273A1" w:rsidP="00B22992">
      <w:pPr>
        <w:autoSpaceDE w:val="0"/>
        <w:autoSpaceDN w:val="0"/>
        <w:adjustRightInd w:val="0"/>
        <w:spacing w:after="0" w:line="240" w:lineRule="auto"/>
        <w:rPr>
          <w:rFonts w:ascii="Times New Roman" w:hAnsi="Times New Roman"/>
          <w:sz w:val="20"/>
          <w:szCs w:val="20"/>
        </w:rPr>
      </w:pPr>
      <w:r w:rsidRPr="009C2179">
        <w:rPr>
          <w:rFonts w:ascii="Times New Roman" w:hAnsi="Times New Roman"/>
          <w:color w:val="000000"/>
          <w:sz w:val="20"/>
          <w:szCs w:val="20"/>
        </w:rPr>
        <w:t>-Lydall H. (1979), A theory of income distribution,</w:t>
      </w:r>
      <w:r w:rsidRPr="009C2179">
        <w:rPr>
          <w:rFonts w:ascii="Times New Roman" w:hAnsi="Times New Roman"/>
          <w:sz w:val="20"/>
          <w:szCs w:val="20"/>
        </w:rPr>
        <w:t xml:space="preserve"> Oxford : Clarendon Press,</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 Mankiw</w:t>
      </w:r>
      <w:r w:rsidRPr="00A0444D">
        <w:rPr>
          <w:b/>
          <w:bCs/>
          <w:color w:val="auto"/>
          <w:sz w:val="20"/>
          <w:szCs w:val="20"/>
        </w:rPr>
        <w:t xml:space="preserve">, </w:t>
      </w:r>
      <w:r w:rsidRPr="00A0444D">
        <w:rPr>
          <w:color w:val="auto"/>
          <w:sz w:val="20"/>
          <w:szCs w:val="20"/>
        </w:rPr>
        <w:t xml:space="preserve">G. (2015), “Yes, r&gt;g. So what?”, </w:t>
      </w:r>
      <w:r w:rsidRPr="00A0444D">
        <w:rPr>
          <w:i/>
          <w:iCs/>
          <w:color w:val="auto"/>
          <w:sz w:val="20"/>
          <w:szCs w:val="20"/>
        </w:rPr>
        <w:t xml:space="preserve">American Economic Review </w:t>
      </w:r>
      <w:r w:rsidRPr="00A0444D">
        <w:rPr>
          <w:color w:val="auto"/>
          <w:sz w:val="20"/>
          <w:szCs w:val="20"/>
        </w:rPr>
        <w:t xml:space="preserve">105 (5), pp.43-47, at </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 xml:space="preserve">http://dx.doi.org/10.1257/aer.p20151059. </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 xml:space="preserve">-Milanovic B. (2014), The return of “patrimonial capitalism”: review of Thomas Piketty’s </w:t>
      </w:r>
      <w:r w:rsidRPr="00A0444D">
        <w:rPr>
          <w:i/>
          <w:iCs/>
          <w:color w:val="auto"/>
          <w:sz w:val="20"/>
          <w:szCs w:val="20"/>
        </w:rPr>
        <w:t>Capital in the 21st century, Journal of Economic Literature</w:t>
      </w:r>
      <w:r w:rsidRPr="00A0444D">
        <w:rPr>
          <w:color w:val="auto"/>
          <w:sz w:val="20"/>
          <w:szCs w:val="20"/>
        </w:rPr>
        <w:t xml:space="preserve">, 52(2), pp.519-534, at </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 xml:space="preserve">https://www.gc.cuny.edu/CUNY_GC/media/CUNY-Graduate-Center/PDF/Centers/LIS/Milanovic/papers/2014/Piketty_book3.pdf </w:t>
      </w:r>
    </w:p>
    <w:p w:rsidR="00C273A1" w:rsidRPr="009E2F8E" w:rsidRDefault="00C273A1" w:rsidP="00B22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sidRPr="00A0444D">
        <w:rPr>
          <w:rFonts w:ascii="Times New Roman" w:hAnsi="Times New Roman"/>
          <w:bCs/>
          <w:sz w:val="20"/>
          <w:szCs w:val="20"/>
        </w:rPr>
        <w:t xml:space="preserve">-Oxfam (2016), An Economy for the 1%, </w:t>
      </w:r>
      <w:r w:rsidRPr="00A0444D">
        <w:rPr>
          <w:rFonts w:ascii="Times New Roman" w:hAnsi="Times New Roman"/>
          <w:sz w:val="20"/>
          <w:szCs w:val="20"/>
        </w:rPr>
        <w:t xml:space="preserve">How privilege and power in the economy drive extreme inequality and how </w:t>
      </w:r>
      <w:r w:rsidRPr="009E2F8E">
        <w:rPr>
          <w:rFonts w:ascii="Times New Roman" w:hAnsi="Times New Roman"/>
          <w:sz w:val="20"/>
          <w:szCs w:val="20"/>
        </w:rPr>
        <w:t xml:space="preserve">this can be stopped, </w:t>
      </w:r>
      <w:r w:rsidRPr="009E2F8E">
        <w:rPr>
          <w:rFonts w:ascii="Times New Roman" w:hAnsi="Times New Roman"/>
          <w:i/>
          <w:sz w:val="20"/>
          <w:szCs w:val="20"/>
        </w:rPr>
        <w:t>210 Oxfam Briefing Paper</w:t>
      </w:r>
      <w:r w:rsidRPr="009E2F8E">
        <w:rPr>
          <w:rFonts w:ascii="Times New Roman" w:hAnsi="Times New Roman"/>
          <w:sz w:val="20"/>
          <w:szCs w:val="20"/>
        </w:rPr>
        <w:t>, 18 January at</w:t>
      </w:r>
    </w:p>
    <w:p w:rsidR="00C273A1" w:rsidRPr="009E2F8E" w:rsidRDefault="004C7B06" w:rsidP="00B22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hyperlink r:id="rId47" w:history="1">
        <w:r w:rsidR="00C273A1" w:rsidRPr="009E2F8E">
          <w:rPr>
            <w:rStyle w:val="Collegamentoipertestuale"/>
            <w:color w:val="auto"/>
            <w:sz w:val="20"/>
            <w:szCs w:val="20"/>
            <w:u w:val="none"/>
          </w:rPr>
          <w:t>https://www.oxfam.org/sites/www.oxfam.org/files/file_attachments/bp210-economy-one-percent-tax-havens-180116-en_0.pdf</w:t>
        </w:r>
      </w:hyperlink>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 xml:space="preserve">- Piketty T. (2014a), </w:t>
      </w:r>
      <w:r w:rsidRPr="00A0444D">
        <w:rPr>
          <w:i/>
          <w:iCs/>
          <w:color w:val="auto"/>
          <w:sz w:val="20"/>
          <w:szCs w:val="20"/>
        </w:rPr>
        <w:t xml:space="preserve">Capital in the Twenty-First Century, </w:t>
      </w:r>
      <w:r w:rsidRPr="00A0444D">
        <w:rPr>
          <w:color w:val="auto"/>
          <w:sz w:val="20"/>
          <w:szCs w:val="20"/>
        </w:rPr>
        <w:t xml:space="preserve">Cambridge, MA.: Harvard University Press. </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 Piketty T. (2014b), Technical Appendix of the book “</w:t>
      </w:r>
      <w:r w:rsidRPr="00A0444D">
        <w:rPr>
          <w:i/>
          <w:iCs/>
          <w:color w:val="auto"/>
          <w:sz w:val="20"/>
          <w:szCs w:val="20"/>
        </w:rPr>
        <w:t>Capital in the Twenty-First Century”</w:t>
      </w:r>
      <w:r w:rsidRPr="00A0444D">
        <w:rPr>
          <w:color w:val="auto"/>
          <w:sz w:val="20"/>
          <w:szCs w:val="20"/>
        </w:rPr>
        <w:t>, march, Harvard University Press, at</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 xml:space="preserve">http://piketty.pse.ens.fr/capital21c </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 xml:space="preserve">- Piketty T. (2015a), About Capital in the 21st Century, </w:t>
      </w:r>
      <w:r w:rsidRPr="00A0444D">
        <w:rPr>
          <w:i/>
          <w:iCs/>
          <w:color w:val="auto"/>
          <w:sz w:val="20"/>
          <w:szCs w:val="20"/>
        </w:rPr>
        <w:t>American Economic Review: Papers &amp; Proceedings 2015</w:t>
      </w:r>
      <w:r w:rsidRPr="00A0444D">
        <w:rPr>
          <w:color w:val="auto"/>
          <w:sz w:val="20"/>
          <w:szCs w:val="20"/>
        </w:rPr>
        <w:t>, 105(5): 48–53 , at</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 xml:space="preserve">http://dx.doi.org/10.1257/aer.p20151060 </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 Piketty T. (2015b), Putting distribution back at the center of Economics: Reflections on Capital in the Twenty-First Century,</w:t>
      </w:r>
      <w:r w:rsidRPr="00A0444D">
        <w:rPr>
          <w:i/>
          <w:iCs/>
          <w:color w:val="auto"/>
          <w:sz w:val="20"/>
          <w:szCs w:val="20"/>
        </w:rPr>
        <w:t xml:space="preserve"> Journal of Economic Perspectives</w:t>
      </w:r>
      <w:r w:rsidRPr="00A0444D">
        <w:rPr>
          <w:color w:val="auto"/>
          <w:sz w:val="20"/>
          <w:szCs w:val="20"/>
        </w:rPr>
        <w:t>, Vol. 29 (1), pp. 67–88, at</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http://piketty.pse.ens.fr/files/Piketty2015JEP.pdf</w:t>
      </w:r>
    </w:p>
    <w:p w:rsidR="00C273A1" w:rsidRDefault="00C273A1" w:rsidP="00B22992">
      <w:pPr>
        <w:autoSpaceDE w:val="0"/>
        <w:autoSpaceDN w:val="0"/>
        <w:adjustRightInd w:val="0"/>
        <w:spacing w:after="0" w:line="240" w:lineRule="auto"/>
        <w:rPr>
          <w:rFonts w:ascii="MyriadPro-It" w:hAnsi="MyriadPro-It" w:cs="MyriadPro-It"/>
          <w:i/>
          <w:iCs/>
          <w:sz w:val="18"/>
          <w:szCs w:val="18"/>
          <w:lang w:val="en-IE" w:eastAsia="it-IT"/>
        </w:rPr>
      </w:pPr>
      <w:r w:rsidRPr="00EB4FB2">
        <w:rPr>
          <w:rFonts w:ascii="Times New Roman" w:hAnsi="Times New Roman"/>
          <w:iCs/>
          <w:sz w:val="20"/>
          <w:szCs w:val="20"/>
          <w:lang w:val="en-IE" w:eastAsia="it-IT"/>
        </w:rPr>
        <w:t>-Piketty T.</w:t>
      </w:r>
      <w:r>
        <w:rPr>
          <w:rFonts w:ascii="Times New Roman" w:hAnsi="Times New Roman"/>
          <w:iCs/>
          <w:sz w:val="20"/>
          <w:szCs w:val="20"/>
          <w:lang w:val="en-IE" w:eastAsia="it-IT"/>
        </w:rPr>
        <w:t xml:space="preserve"> (2015c</w:t>
      </w:r>
      <w:r w:rsidRPr="00EB4FB2">
        <w:rPr>
          <w:rFonts w:ascii="Times New Roman" w:hAnsi="Times New Roman"/>
          <w:iCs/>
          <w:sz w:val="20"/>
          <w:szCs w:val="20"/>
          <w:lang w:val="en-IE" w:eastAsia="it-IT"/>
        </w:rPr>
        <w:t>), Capital and Wealth Taxation in the 21th Century,</w:t>
      </w:r>
      <w:r w:rsidRPr="00D5739B">
        <w:rPr>
          <w:rFonts w:ascii="MyriadPro-It" w:hAnsi="MyriadPro-It" w:cs="MyriadPro-It"/>
          <w:i/>
          <w:iCs/>
          <w:sz w:val="18"/>
          <w:szCs w:val="18"/>
          <w:lang w:val="en-IE" w:eastAsia="it-IT"/>
        </w:rPr>
        <w:t xml:space="preserve"> </w:t>
      </w:r>
      <w:r>
        <w:rPr>
          <w:rFonts w:ascii="MyriadPro-It" w:hAnsi="MyriadPro-It" w:cs="MyriadPro-It"/>
          <w:i/>
          <w:iCs/>
          <w:sz w:val="18"/>
          <w:szCs w:val="18"/>
          <w:lang w:val="en-IE" w:eastAsia="it-IT"/>
        </w:rPr>
        <w:t xml:space="preserve">National  Tax  Journal,  </w:t>
      </w:r>
      <w:r w:rsidRPr="00D5739B">
        <w:rPr>
          <w:rFonts w:ascii="MyriadPro-It" w:hAnsi="MyriadPro-It" w:cs="MyriadPro-It"/>
          <w:iCs/>
          <w:sz w:val="18"/>
          <w:szCs w:val="18"/>
          <w:lang w:val="en-IE" w:eastAsia="it-IT"/>
        </w:rPr>
        <w:t>June</w:t>
      </w:r>
      <w:r>
        <w:rPr>
          <w:rFonts w:ascii="MyriadPro-It" w:hAnsi="MyriadPro-It" w:cs="MyriadPro-It"/>
          <w:i/>
          <w:iCs/>
          <w:sz w:val="18"/>
          <w:szCs w:val="18"/>
          <w:lang w:val="en-IE" w:eastAsia="it-IT"/>
        </w:rPr>
        <w:t xml:space="preserve">, </w:t>
      </w:r>
      <w:r w:rsidRPr="00D5739B">
        <w:rPr>
          <w:rFonts w:ascii="MyriadPro-It" w:hAnsi="MyriadPro-It" w:cs="MyriadPro-It"/>
          <w:iCs/>
          <w:sz w:val="18"/>
          <w:szCs w:val="18"/>
          <w:lang w:val="en-IE" w:eastAsia="it-IT"/>
        </w:rPr>
        <w:t>68 (2), 449–458</w:t>
      </w:r>
      <w:r>
        <w:rPr>
          <w:rFonts w:ascii="MyriadPro-It" w:hAnsi="MyriadPro-It" w:cs="MyriadPro-It"/>
          <w:iCs/>
          <w:sz w:val="18"/>
          <w:szCs w:val="18"/>
          <w:lang w:val="en-IE" w:eastAsia="it-IT"/>
        </w:rPr>
        <w:t>.</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 xml:space="preserve">- Piketty T. and Emmanuel Saez </w:t>
      </w:r>
      <w:r w:rsidRPr="00A0444D">
        <w:rPr>
          <w:b/>
          <w:bCs/>
          <w:color w:val="auto"/>
          <w:sz w:val="20"/>
          <w:szCs w:val="20"/>
        </w:rPr>
        <w:t>(</w:t>
      </w:r>
      <w:r w:rsidRPr="00A0444D">
        <w:rPr>
          <w:color w:val="auto"/>
          <w:sz w:val="20"/>
          <w:szCs w:val="20"/>
        </w:rPr>
        <w:t>2014), Inequality in the Long Run,</w:t>
      </w:r>
      <w:r>
        <w:rPr>
          <w:color w:val="auto"/>
          <w:sz w:val="20"/>
          <w:szCs w:val="20"/>
        </w:rPr>
        <w:t xml:space="preserve"> </w:t>
      </w:r>
      <w:r w:rsidRPr="00A0444D">
        <w:rPr>
          <w:i/>
          <w:iCs/>
          <w:color w:val="auto"/>
          <w:sz w:val="20"/>
          <w:szCs w:val="20"/>
        </w:rPr>
        <w:t xml:space="preserve">Science, </w:t>
      </w:r>
      <w:r w:rsidRPr="00A0444D">
        <w:rPr>
          <w:color w:val="auto"/>
          <w:sz w:val="20"/>
          <w:szCs w:val="20"/>
        </w:rPr>
        <w:t>344(6186): 838–43 at</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http://eml.berkeley.edu/~saez/piketty-saezScience14.pdf</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 xml:space="preserve">- Piketty T., Saez E. and Stefanie Stantcheva (2014), Optimal Taxation of Top Labor Incomes: A Tale of Three Elasticities, </w:t>
      </w:r>
      <w:r w:rsidRPr="00A0444D">
        <w:rPr>
          <w:i/>
          <w:iCs/>
          <w:color w:val="auto"/>
          <w:sz w:val="20"/>
          <w:szCs w:val="20"/>
        </w:rPr>
        <w:t>American Economic Journal: Economic Policy</w:t>
      </w:r>
      <w:r w:rsidRPr="00A0444D">
        <w:rPr>
          <w:color w:val="auto"/>
          <w:sz w:val="20"/>
          <w:szCs w:val="20"/>
        </w:rPr>
        <w:t>, vol.6 (1), p.230-271, at</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https://www.economicdynamics.org/meetpapers/2012/paper_78.pdf</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 xml:space="preserve">- </w:t>
      </w:r>
      <w:bookmarkStart w:id="3" w:name="_Hlk489047423"/>
      <w:r w:rsidRPr="00A0444D">
        <w:rPr>
          <w:color w:val="auto"/>
          <w:sz w:val="20"/>
          <w:szCs w:val="20"/>
        </w:rPr>
        <w:t>Piketty T. and Gabriel Zucman G. (2015)</w:t>
      </w:r>
      <w:bookmarkEnd w:id="3"/>
      <w:r w:rsidRPr="00A0444D">
        <w:rPr>
          <w:color w:val="auto"/>
          <w:sz w:val="20"/>
          <w:szCs w:val="20"/>
        </w:rPr>
        <w:t xml:space="preserve">, Wealth and Inheritance in the Long Run, in: Atkinson A. and François Bourguignon (eds.), vol 2, </w:t>
      </w:r>
      <w:r w:rsidRPr="00A0444D">
        <w:rPr>
          <w:i/>
          <w:iCs/>
          <w:color w:val="auto"/>
          <w:sz w:val="20"/>
          <w:szCs w:val="20"/>
        </w:rPr>
        <w:t>Handbook of Income Distribution</w:t>
      </w:r>
      <w:r w:rsidRPr="00A0444D">
        <w:rPr>
          <w:color w:val="auto"/>
          <w:sz w:val="20"/>
          <w:szCs w:val="20"/>
        </w:rPr>
        <w:t xml:space="preserve">, Elsevier, at </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http://piketty.pse.ens.fr/files/PikettyZucman2014HID.pdf</w:t>
      </w:r>
    </w:p>
    <w:p w:rsidR="00C273A1" w:rsidRDefault="00C273A1" w:rsidP="004E1E6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r w:rsidRPr="005752C9">
        <w:rPr>
          <w:rFonts w:ascii="Times New Roman" w:hAnsi="Times New Roman"/>
          <w:sz w:val="20"/>
          <w:szCs w:val="20"/>
        </w:rPr>
        <w:t xml:space="preserve"> </w:t>
      </w:r>
      <w:r w:rsidRPr="000E7F0D">
        <w:rPr>
          <w:rFonts w:ascii="Times New Roman" w:hAnsi="Times New Roman"/>
          <w:sz w:val="20"/>
          <w:szCs w:val="20"/>
        </w:rPr>
        <w:t>Piketty T., Saez E. and Gabriel Zucman G. (201</w:t>
      </w:r>
      <w:r>
        <w:rPr>
          <w:rFonts w:ascii="Times New Roman" w:hAnsi="Times New Roman"/>
          <w:sz w:val="20"/>
          <w:szCs w:val="20"/>
        </w:rPr>
        <w:t>6</w:t>
      </w:r>
      <w:r w:rsidRPr="000E7F0D">
        <w:rPr>
          <w:rFonts w:ascii="Times New Roman" w:hAnsi="Times New Roman"/>
          <w:sz w:val="20"/>
          <w:szCs w:val="20"/>
        </w:rPr>
        <w:t xml:space="preserve">), Distributional National Accounts: Methods and Estimates for the United States, </w:t>
      </w:r>
      <w:r>
        <w:rPr>
          <w:rFonts w:ascii="Times New Roman" w:hAnsi="Times New Roman"/>
          <w:sz w:val="20"/>
          <w:szCs w:val="20"/>
        </w:rPr>
        <w:t xml:space="preserve">NBER Working Paper No. 22945, </w:t>
      </w:r>
      <w:r w:rsidRPr="007C36EB">
        <w:rPr>
          <w:rFonts w:ascii="Times New Roman" w:hAnsi="Times New Roman"/>
          <w:sz w:val="20"/>
          <w:szCs w:val="20"/>
        </w:rPr>
        <w:t>December</w:t>
      </w:r>
      <w:r>
        <w:rPr>
          <w:rFonts w:ascii="Times New Roman" w:hAnsi="Times New Roman"/>
          <w:sz w:val="20"/>
          <w:szCs w:val="20"/>
        </w:rPr>
        <w:t xml:space="preserve"> at</w:t>
      </w:r>
    </w:p>
    <w:p w:rsidR="00C273A1" w:rsidRDefault="004C7B06" w:rsidP="004E1E61">
      <w:pPr>
        <w:spacing w:after="0" w:line="240" w:lineRule="auto"/>
        <w:ind w:right="113"/>
        <w:jc w:val="both"/>
        <w:rPr>
          <w:rFonts w:ascii="Times New Roman" w:hAnsi="Times New Roman"/>
          <w:sz w:val="20"/>
          <w:szCs w:val="20"/>
        </w:rPr>
      </w:pPr>
      <w:hyperlink r:id="rId48" w:history="1">
        <w:r w:rsidR="00C273A1" w:rsidRPr="007C36EB">
          <w:rPr>
            <w:rStyle w:val="Collegamentoipertestuale"/>
            <w:color w:val="auto"/>
            <w:sz w:val="20"/>
            <w:szCs w:val="20"/>
            <w:u w:val="none"/>
          </w:rPr>
          <w:t>https://eml.berkeley.edu/~saez/Piketty-Saez-ZucmanNBER16.pdf</w:t>
        </w:r>
      </w:hyperlink>
    </w:p>
    <w:p w:rsidR="00C273A1" w:rsidRPr="004E1E61" w:rsidRDefault="00C273A1" w:rsidP="004E1E61">
      <w:pPr>
        <w:spacing w:after="0" w:line="240" w:lineRule="auto"/>
        <w:ind w:right="113"/>
        <w:jc w:val="both"/>
        <w:rPr>
          <w:rFonts w:ascii="Times New Roman" w:hAnsi="Times New Roman"/>
          <w:sz w:val="20"/>
          <w:szCs w:val="20"/>
        </w:rPr>
      </w:pPr>
      <w:r w:rsidRPr="00A0444D">
        <w:rPr>
          <w:rFonts w:ascii="Times New Roman" w:hAnsi="Times New Roman"/>
          <w:sz w:val="20"/>
          <w:szCs w:val="20"/>
        </w:rPr>
        <w:t xml:space="preserve">- Porta P.L. (2014), Distributive Justice versus Commutative Justice, </w:t>
      </w:r>
      <w:r w:rsidRPr="00A0444D">
        <w:rPr>
          <w:rFonts w:ascii="Times New Roman" w:hAnsi="Times New Roman"/>
          <w:i/>
          <w:sz w:val="20"/>
          <w:szCs w:val="20"/>
        </w:rPr>
        <w:t xml:space="preserve">International Review of Economics, </w:t>
      </w:r>
      <w:r w:rsidRPr="00A0444D">
        <w:rPr>
          <w:rFonts w:ascii="Times New Roman" w:hAnsi="Times New Roman"/>
          <w:sz w:val="20"/>
          <w:szCs w:val="20"/>
        </w:rPr>
        <w:t>61(2):197-201.</w:t>
      </w:r>
    </w:p>
    <w:p w:rsidR="00C273A1" w:rsidRPr="00A0444D" w:rsidRDefault="00C273A1" w:rsidP="004E1E61">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 xml:space="preserve">-Ray D. (2015), </w:t>
      </w:r>
      <w:r w:rsidRPr="00A0444D">
        <w:rPr>
          <w:i/>
          <w:iCs/>
          <w:color w:val="auto"/>
          <w:sz w:val="20"/>
          <w:szCs w:val="20"/>
        </w:rPr>
        <w:t>Nit-Piketty. A comment on Thomas Piketty’s Capital in the Twenty First Century</w:t>
      </w:r>
      <w:r w:rsidRPr="00A0444D">
        <w:rPr>
          <w:color w:val="auto"/>
          <w:sz w:val="20"/>
          <w:szCs w:val="20"/>
        </w:rPr>
        <w:t xml:space="preserve">, CESifo Forum, 1/2015, march, at </w:t>
      </w:r>
    </w:p>
    <w:p w:rsidR="00C273A1" w:rsidRPr="00A0444D" w:rsidRDefault="00C273A1" w:rsidP="004E1E61">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http://www.econ.nyu.edu/user/debraj/Papers/Piketty.pdf</w:t>
      </w:r>
    </w:p>
    <w:p w:rsidR="00C273A1" w:rsidRDefault="00C273A1" w:rsidP="00B22992">
      <w:pPr>
        <w:spacing w:after="0"/>
        <w:ind w:right="113"/>
        <w:rPr>
          <w:rFonts w:ascii="TimesLTStd-Roman" w:hAnsi="TimesLTStd-Roman" w:cs="TimesLTStd-Roman"/>
          <w:sz w:val="20"/>
          <w:szCs w:val="20"/>
        </w:rPr>
      </w:pPr>
      <w:r>
        <w:rPr>
          <w:rFonts w:ascii="Times New Roman" w:hAnsi="Times New Roman"/>
          <w:i/>
          <w:iCs/>
          <w:sz w:val="20"/>
          <w:szCs w:val="20"/>
          <w:lang w:val="en-IE" w:eastAsia="it-IT"/>
        </w:rPr>
        <w:t>-</w:t>
      </w:r>
      <w:r w:rsidRPr="00D5739B">
        <w:rPr>
          <w:rFonts w:ascii="Times New Roman" w:hAnsi="Times New Roman"/>
          <w:iCs/>
          <w:sz w:val="20"/>
          <w:szCs w:val="20"/>
          <w:lang w:val="en-IE" w:eastAsia="it-IT"/>
        </w:rPr>
        <w:t>R</w:t>
      </w:r>
      <w:r>
        <w:rPr>
          <w:rFonts w:ascii="TimesLTStd-Bold" w:hAnsi="TimesLTStd-Bold" w:cs="TimesLTStd-Bold"/>
          <w:bCs/>
          <w:sz w:val="18"/>
          <w:szCs w:val="18"/>
        </w:rPr>
        <w:t xml:space="preserve">ognlie </w:t>
      </w:r>
      <w:r w:rsidRPr="00D5739B">
        <w:rPr>
          <w:rFonts w:ascii="TimesLTStd-Bold" w:hAnsi="TimesLTStd-Bold" w:cs="TimesLTStd-Bold"/>
          <w:bCs/>
          <w:sz w:val="18"/>
          <w:szCs w:val="18"/>
        </w:rPr>
        <w:t>M</w:t>
      </w:r>
      <w:r>
        <w:rPr>
          <w:rFonts w:ascii="TimesLTStd-Bold" w:hAnsi="TimesLTStd-Bold" w:cs="TimesLTStd-Bold"/>
          <w:bCs/>
          <w:sz w:val="18"/>
          <w:szCs w:val="18"/>
        </w:rPr>
        <w:t>.</w:t>
      </w:r>
      <w:r>
        <w:rPr>
          <w:rFonts w:ascii="TimesLTStd-Bold" w:hAnsi="TimesLTStd-Bold" w:cs="TimesLTStd-Bold"/>
          <w:b/>
          <w:bCs/>
          <w:sz w:val="18"/>
          <w:szCs w:val="18"/>
        </w:rPr>
        <w:t xml:space="preserve"> (</w:t>
      </w:r>
      <w:r>
        <w:rPr>
          <w:rFonts w:ascii="TimesLTStd-Roman" w:hAnsi="TimesLTStd-Roman" w:cs="TimesLTStd-Roman"/>
          <w:sz w:val="20"/>
          <w:szCs w:val="20"/>
        </w:rPr>
        <w:t xml:space="preserve">2014). A Note on Piketty and Diminishing Returns to  Capital,, at </w:t>
      </w:r>
    </w:p>
    <w:p w:rsidR="00C273A1" w:rsidRPr="00D5739B" w:rsidRDefault="004C7B06" w:rsidP="00B22992">
      <w:pPr>
        <w:spacing w:after="0"/>
        <w:ind w:right="113"/>
        <w:rPr>
          <w:rFonts w:ascii="TimesLTStd-Roman" w:hAnsi="TimesLTStd-Roman" w:cs="TimesLTStd-Roman"/>
          <w:sz w:val="20"/>
          <w:szCs w:val="20"/>
        </w:rPr>
      </w:pPr>
      <w:hyperlink r:id="rId49" w:history="1">
        <w:r w:rsidR="00C273A1" w:rsidRPr="00D5739B">
          <w:rPr>
            <w:rStyle w:val="Collegamentoipertestuale"/>
            <w:rFonts w:ascii="TimesLTStd-Roman" w:hAnsi="TimesLTStd-Roman" w:cs="TimesLTStd-Roman"/>
            <w:color w:val="auto"/>
            <w:sz w:val="20"/>
            <w:szCs w:val="20"/>
          </w:rPr>
          <w:t>http://www</w:t>
        </w:r>
      </w:hyperlink>
      <w:r w:rsidR="00C273A1" w:rsidRPr="00D5739B">
        <w:rPr>
          <w:rFonts w:ascii="TimesLTStd-Roman" w:hAnsi="TimesLTStd-Roman" w:cs="TimesLTStd-Roman"/>
          <w:sz w:val="20"/>
          <w:szCs w:val="20"/>
        </w:rPr>
        <w:t>. mit.edu/~mrognlie/piketty_diminishing_returns.pdf.</w:t>
      </w:r>
    </w:p>
    <w:p w:rsidR="00C273A1" w:rsidRPr="00EB4FB2" w:rsidRDefault="00C273A1" w:rsidP="00B22992">
      <w:pPr>
        <w:autoSpaceDE w:val="0"/>
        <w:autoSpaceDN w:val="0"/>
        <w:adjustRightInd w:val="0"/>
        <w:spacing w:after="0" w:line="240" w:lineRule="auto"/>
        <w:jc w:val="both"/>
        <w:rPr>
          <w:rFonts w:ascii="Times New Roman" w:hAnsi="Times New Roman"/>
          <w:sz w:val="20"/>
          <w:szCs w:val="20"/>
          <w:lang w:val="en-IE" w:eastAsia="it-IT"/>
        </w:rPr>
      </w:pPr>
      <w:r w:rsidRPr="00EB4FB2">
        <w:rPr>
          <w:rFonts w:ascii="Times New Roman" w:hAnsi="Times New Roman"/>
          <w:color w:val="000000"/>
          <w:sz w:val="20"/>
          <w:szCs w:val="20"/>
        </w:rPr>
        <w:t xml:space="preserve">- </w:t>
      </w:r>
      <w:r w:rsidRPr="00EB4FB2">
        <w:rPr>
          <w:rFonts w:ascii="Times New Roman" w:hAnsi="Times New Roman"/>
          <w:sz w:val="20"/>
          <w:szCs w:val="20"/>
          <w:lang w:val="en-IE" w:eastAsia="it-IT"/>
        </w:rPr>
        <w:t xml:space="preserve">Rognlie, M. (2016). Deciphering the fall and rise in the net capital share: accumulation or scarcity? </w:t>
      </w:r>
      <w:r w:rsidRPr="00EB4FB2">
        <w:rPr>
          <w:rFonts w:ascii="Times New Roman" w:hAnsi="Times New Roman"/>
          <w:i/>
          <w:iCs/>
          <w:sz w:val="20"/>
          <w:szCs w:val="20"/>
          <w:lang w:val="en-IE" w:eastAsia="it-IT"/>
        </w:rPr>
        <w:t>Brookings</w:t>
      </w:r>
      <w:r>
        <w:rPr>
          <w:rFonts w:ascii="Times New Roman" w:hAnsi="Times New Roman"/>
          <w:i/>
          <w:iCs/>
          <w:sz w:val="20"/>
          <w:szCs w:val="20"/>
          <w:lang w:val="en-IE" w:eastAsia="it-IT"/>
        </w:rPr>
        <w:t xml:space="preserve"> </w:t>
      </w:r>
      <w:r w:rsidRPr="00EB4FB2">
        <w:rPr>
          <w:rFonts w:ascii="Times New Roman" w:hAnsi="Times New Roman"/>
          <w:i/>
          <w:iCs/>
          <w:sz w:val="20"/>
          <w:szCs w:val="20"/>
          <w:lang w:val="en-IE" w:eastAsia="it-IT"/>
        </w:rPr>
        <w:t>papers on economic activity</w:t>
      </w:r>
      <w:r w:rsidRPr="00EB4FB2">
        <w:rPr>
          <w:rFonts w:ascii="Times New Roman" w:hAnsi="Times New Roman"/>
          <w:sz w:val="20"/>
          <w:szCs w:val="20"/>
          <w:lang w:val="en-IE" w:eastAsia="it-IT"/>
        </w:rPr>
        <w:t>, (1):1–69.</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 xml:space="preserve">-Solow R. M. (2014), Thomas Piketty is right, Capital in the Twenty-First Century' by Thomas Piketty, reviewed, </w:t>
      </w:r>
      <w:r w:rsidRPr="00A0444D">
        <w:rPr>
          <w:i/>
          <w:iCs/>
          <w:color w:val="auto"/>
          <w:sz w:val="20"/>
          <w:szCs w:val="20"/>
        </w:rPr>
        <w:t>New Republic</w:t>
      </w:r>
      <w:r w:rsidRPr="00A0444D">
        <w:rPr>
          <w:color w:val="auto"/>
          <w:sz w:val="20"/>
          <w:szCs w:val="20"/>
        </w:rPr>
        <w:t>, April 22, at</w:t>
      </w:r>
    </w:p>
    <w:p w:rsidR="00C273A1" w:rsidRPr="00A0444D" w:rsidRDefault="00C273A1" w:rsidP="00B22992">
      <w:pPr>
        <w:pStyle w:val="Defaul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rPr>
      </w:pPr>
      <w:r w:rsidRPr="00A0444D">
        <w:rPr>
          <w:color w:val="auto"/>
          <w:sz w:val="20"/>
          <w:szCs w:val="20"/>
        </w:rPr>
        <w:t xml:space="preserve">http://www.newrepublic.com/article/117429/ </w:t>
      </w:r>
    </w:p>
    <w:p w:rsidR="00C273A1" w:rsidRDefault="00C273A1" w:rsidP="00B22992">
      <w:pPr>
        <w:autoSpaceDE w:val="0"/>
        <w:autoSpaceDN w:val="0"/>
        <w:adjustRightInd w:val="0"/>
        <w:spacing w:after="0" w:line="240" w:lineRule="auto"/>
        <w:rPr>
          <w:rFonts w:ascii="Times New Roman" w:hAnsi="Times New Roman"/>
          <w:color w:val="000000"/>
          <w:sz w:val="20"/>
          <w:szCs w:val="20"/>
        </w:rPr>
      </w:pPr>
    </w:p>
    <w:p w:rsidR="00C273A1" w:rsidRPr="00B51D03" w:rsidRDefault="00C273A1" w:rsidP="00B22992">
      <w:pPr>
        <w:autoSpaceDE w:val="0"/>
        <w:autoSpaceDN w:val="0"/>
        <w:adjustRightInd w:val="0"/>
        <w:spacing w:after="0" w:line="240" w:lineRule="auto"/>
        <w:rPr>
          <w:rFonts w:ascii="Georgia" w:hAnsi="Georgia" w:cs="Georgia"/>
          <w:color w:val="000000"/>
          <w:sz w:val="24"/>
          <w:szCs w:val="24"/>
          <w:lang w:val="en-IE"/>
        </w:rPr>
      </w:pPr>
    </w:p>
    <w:sectPr w:rsidR="00C273A1" w:rsidRPr="00B51D03" w:rsidSect="00133E06">
      <w:footerReference w:type="even" r:id="rId50"/>
      <w:footerReference w:type="default" r:id="rId51"/>
      <w:pgSz w:w="12240" w:h="15840"/>
      <w:pgMar w:top="1247" w:right="1440" w:bottom="144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A1" w:rsidRDefault="00C273A1">
      <w:pPr>
        <w:spacing w:after="0" w:line="240" w:lineRule="auto"/>
      </w:pPr>
      <w:r>
        <w:separator/>
      </w:r>
    </w:p>
  </w:endnote>
  <w:endnote w:type="continuationSeparator" w:id="0">
    <w:p w:rsidR="00C273A1" w:rsidRDefault="00C2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LTStd-Roman">
    <w:altName w:val="Times New Roman"/>
    <w:panose1 w:val="00000000000000000000"/>
    <w:charset w:val="00"/>
    <w:family w:val="roman"/>
    <w:notTrueType/>
    <w:pitch w:val="default"/>
    <w:sig w:usb0="00000003" w:usb1="00000000" w:usb2="00000000" w:usb3="00000000" w:csb0="00000001" w:csb1="00000000"/>
  </w:font>
  <w:font w:name="UniMath">
    <w:altName w:val="Cambria"/>
    <w:panose1 w:val="00000000000000000000"/>
    <w:charset w:val="A1"/>
    <w:family w:val="roman"/>
    <w:notTrueType/>
    <w:pitch w:val="default"/>
    <w:sig w:usb0="00000081" w:usb1="00000000" w:usb2="00000000" w:usb3="00000000" w:csb0="00000008" w:csb1="00000000"/>
  </w:font>
  <w:font w:name="CMR12">
    <w:altName w:val="Calibri"/>
    <w:panose1 w:val="00000000000000000000"/>
    <w:charset w:val="00"/>
    <w:family w:val="auto"/>
    <w:notTrueType/>
    <w:pitch w:val="default"/>
    <w:sig w:usb0="00000003" w:usb1="00000000" w:usb2="00000000" w:usb3="00000000" w:csb0="00000001" w:csb1="00000000"/>
  </w:font>
  <w:font w:name="MyriadPro-It">
    <w:altName w:val="Calibri"/>
    <w:panose1 w:val="00000000000000000000"/>
    <w:charset w:val="00"/>
    <w:family w:val="swiss"/>
    <w:notTrueType/>
    <w:pitch w:val="default"/>
    <w:sig w:usb0="00000003" w:usb1="00000000" w:usb2="00000000" w:usb3="00000000" w:csb0="00000001" w:csb1="00000000"/>
  </w:font>
  <w:font w:name="TimesLTStd-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1" w:rsidRDefault="00C273A1" w:rsidP="008A26B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273A1" w:rsidRDefault="00C273A1" w:rsidP="00F236D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1" w:rsidRDefault="00C273A1" w:rsidP="008A26B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C7B06">
      <w:rPr>
        <w:rStyle w:val="Numeropagina"/>
        <w:noProof/>
      </w:rPr>
      <w:t>1</w:t>
    </w:r>
    <w:r>
      <w:rPr>
        <w:rStyle w:val="Numeropagina"/>
      </w:rPr>
      <w:fldChar w:fldCharType="end"/>
    </w:r>
  </w:p>
  <w:p w:rsidR="00C273A1" w:rsidRDefault="00C273A1" w:rsidP="00F236D2">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A1" w:rsidRDefault="00C273A1">
      <w:pPr>
        <w:spacing w:after="0" w:line="240" w:lineRule="auto"/>
      </w:pPr>
      <w:r>
        <w:separator/>
      </w:r>
    </w:p>
  </w:footnote>
  <w:footnote w:type="continuationSeparator" w:id="0">
    <w:p w:rsidR="00C273A1" w:rsidRDefault="00C273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64"/>
    <w:rsid w:val="000209ED"/>
    <w:rsid w:val="00051F86"/>
    <w:rsid w:val="00052DA2"/>
    <w:rsid w:val="000B57C6"/>
    <w:rsid w:val="000C4666"/>
    <w:rsid w:val="000D094B"/>
    <w:rsid w:val="000E2F29"/>
    <w:rsid w:val="000E55EF"/>
    <w:rsid w:val="000E7F0D"/>
    <w:rsid w:val="00107B28"/>
    <w:rsid w:val="001136B7"/>
    <w:rsid w:val="00114F0D"/>
    <w:rsid w:val="00123308"/>
    <w:rsid w:val="00133E06"/>
    <w:rsid w:val="0013584C"/>
    <w:rsid w:val="00145B3F"/>
    <w:rsid w:val="00155AE6"/>
    <w:rsid w:val="001577ED"/>
    <w:rsid w:val="00167D8E"/>
    <w:rsid w:val="00183D64"/>
    <w:rsid w:val="00184530"/>
    <w:rsid w:val="00250715"/>
    <w:rsid w:val="00263994"/>
    <w:rsid w:val="00296264"/>
    <w:rsid w:val="00296830"/>
    <w:rsid w:val="002A3F9B"/>
    <w:rsid w:val="002B1E64"/>
    <w:rsid w:val="002D0E9B"/>
    <w:rsid w:val="002E0DCE"/>
    <w:rsid w:val="002F7B25"/>
    <w:rsid w:val="003238A8"/>
    <w:rsid w:val="00325057"/>
    <w:rsid w:val="00335CFE"/>
    <w:rsid w:val="00355D0B"/>
    <w:rsid w:val="00366300"/>
    <w:rsid w:val="003C2EE1"/>
    <w:rsid w:val="003C3A49"/>
    <w:rsid w:val="003E6B3B"/>
    <w:rsid w:val="003E751A"/>
    <w:rsid w:val="00404D75"/>
    <w:rsid w:val="004229F7"/>
    <w:rsid w:val="0044502C"/>
    <w:rsid w:val="00454499"/>
    <w:rsid w:val="00461972"/>
    <w:rsid w:val="00465B76"/>
    <w:rsid w:val="004B6C25"/>
    <w:rsid w:val="004C553C"/>
    <w:rsid w:val="004C7267"/>
    <w:rsid w:val="004C7B06"/>
    <w:rsid w:val="004E1E61"/>
    <w:rsid w:val="005035CF"/>
    <w:rsid w:val="00503C11"/>
    <w:rsid w:val="00506082"/>
    <w:rsid w:val="0054407F"/>
    <w:rsid w:val="00545808"/>
    <w:rsid w:val="00552B23"/>
    <w:rsid w:val="005752C9"/>
    <w:rsid w:val="005948E5"/>
    <w:rsid w:val="005C47F2"/>
    <w:rsid w:val="005E64F0"/>
    <w:rsid w:val="005F26FB"/>
    <w:rsid w:val="006254C1"/>
    <w:rsid w:val="006B13CA"/>
    <w:rsid w:val="006E32AF"/>
    <w:rsid w:val="007007D5"/>
    <w:rsid w:val="00711C2F"/>
    <w:rsid w:val="007260AC"/>
    <w:rsid w:val="00737295"/>
    <w:rsid w:val="00747638"/>
    <w:rsid w:val="00771E9B"/>
    <w:rsid w:val="007C36EB"/>
    <w:rsid w:val="007C5D77"/>
    <w:rsid w:val="00864809"/>
    <w:rsid w:val="008726B3"/>
    <w:rsid w:val="00881548"/>
    <w:rsid w:val="008A26B6"/>
    <w:rsid w:val="008A4637"/>
    <w:rsid w:val="008B7CFF"/>
    <w:rsid w:val="008D77A8"/>
    <w:rsid w:val="008E36F4"/>
    <w:rsid w:val="00907428"/>
    <w:rsid w:val="00932C1C"/>
    <w:rsid w:val="0096335B"/>
    <w:rsid w:val="00995F5C"/>
    <w:rsid w:val="009A269C"/>
    <w:rsid w:val="009C2179"/>
    <w:rsid w:val="009E2F8E"/>
    <w:rsid w:val="00A0444D"/>
    <w:rsid w:val="00A23D43"/>
    <w:rsid w:val="00A54D92"/>
    <w:rsid w:val="00A65B7E"/>
    <w:rsid w:val="00A8148C"/>
    <w:rsid w:val="00AB79D8"/>
    <w:rsid w:val="00AC5A78"/>
    <w:rsid w:val="00AD7678"/>
    <w:rsid w:val="00AE476E"/>
    <w:rsid w:val="00B11751"/>
    <w:rsid w:val="00B22992"/>
    <w:rsid w:val="00B401D2"/>
    <w:rsid w:val="00B446C5"/>
    <w:rsid w:val="00B51D03"/>
    <w:rsid w:val="00B57733"/>
    <w:rsid w:val="00BD1B43"/>
    <w:rsid w:val="00BD2A2D"/>
    <w:rsid w:val="00BF4E52"/>
    <w:rsid w:val="00C242CB"/>
    <w:rsid w:val="00C273A1"/>
    <w:rsid w:val="00C31F26"/>
    <w:rsid w:val="00C637B3"/>
    <w:rsid w:val="00C67E23"/>
    <w:rsid w:val="00C72F25"/>
    <w:rsid w:val="00CA2FB1"/>
    <w:rsid w:val="00CA55DB"/>
    <w:rsid w:val="00CB7E49"/>
    <w:rsid w:val="00CC5A57"/>
    <w:rsid w:val="00CE2943"/>
    <w:rsid w:val="00D1100D"/>
    <w:rsid w:val="00D24508"/>
    <w:rsid w:val="00D5739B"/>
    <w:rsid w:val="00D96AAB"/>
    <w:rsid w:val="00DC4112"/>
    <w:rsid w:val="00DD34C0"/>
    <w:rsid w:val="00DF28D6"/>
    <w:rsid w:val="00E25332"/>
    <w:rsid w:val="00E73FEB"/>
    <w:rsid w:val="00EA483B"/>
    <w:rsid w:val="00EA7FC1"/>
    <w:rsid w:val="00EB4FB2"/>
    <w:rsid w:val="00EE64D4"/>
    <w:rsid w:val="00F236D2"/>
    <w:rsid w:val="00F4526C"/>
    <w:rsid w:val="00F62526"/>
    <w:rsid w:val="00F745B5"/>
    <w:rsid w:val="00F86BA4"/>
    <w:rsid w:val="00FA77C7"/>
    <w:rsid w:val="00FE536C"/>
    <w:rsid w:val="00FE5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E64"/>
    <w:pPr>
      <w:spacing w:after="160" w:line="259" w:lineRule="auto"/>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2B1E64"/>
    <w:pPr>
      <w:autoSpaceDE w:val="0"/>
      <w:autoSpaceDN w:val="0"/>
      <w:adjustRightInd w:val="0"/>
    </w:pPr>
    <w:rPr>
      <w:rFonts w:ascii="Times New Roman" w:hAnsi="Times New Roman"/>
      <w:color w:val="000000"/>
      <w:sz w:val="24"/>
      <w:szCs w:val="24"/>
      <w:lang w:val="en-US" w:eastAsia="en-US"/>
    </w:rPr>
  </w:style>
  <w:style w:type="paragraph" w:styleId="PreformattatoHTML">
    <w:name w:val="HTML Preformatted"/>
    <w:basedOn w:val="Normale"/>
    <w:link w:val="PreformattatoHTMLCarattere"/>
    <w:uiPriority w:val="99"/>
    <w:rsid w:val="002B1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2B1E64"/>
    <w:rPr>
      <w:rFonts w:ascii="Courier New" w:hAnsi="Courier New" w:cs="Courier New"/>
      <w:sz w:val="20"/>
      <w:szCs w:val="20"/>
      <w:lang w:val="en-US"/>
    </w:rPr>
  </w:style>
  <w:style w:type="paragraph" w:styleId="Corpotesto">
    <w:name w:val="Body Text"/>
    <w:basedOn w:val="Normale"/>
    <w:link w:val="CorpotestoCarattere"/>
    <w:uiPriority w:val="99"/>
    <w:semiHidden/>
    <w:rsid w:val="002B1E64"/>
    <w:pPr>
      <w:spacing w:after="120" w:line="256" w:lineRule="auto"/>
    </w:pPr>
  </w:style>
  <w:style w:type="character" w:customStyle="1" w:styleId="CorpotestoCarattere">
    <w:name w:val="Corpo testo Carattere"/>
    <w:basedOn w:val="Carpredefinitoparagrafo"/>
    <w:link w:val="Corpotesto"/>
    <w:uiPriority w:val="99"/>
    <w:semiHidden/>
    <w:locked/>
    <w:rsid w:val="002B1E64"/>
    <w:rPr>
      <w:rFonts w:ascii="Calibri" w:hAnsi="Calibri" w:cs="Times New Roman"/>
      <w:lang w:val="en-US"/>
    </w:rPr>
  </w:style>
  <w:style w:type="character" w:customStyle="1" w:styleId="shorttext">
    <w:name w:val="short_text"/>
    <w:basedOn w:val="Carpredefinitoparagrafo"/>
    <w:uiPriority w:val="99"/>
    <w:rsid w:val="002B1E64"/>
    <w:rPr>
      <w:rFonts w:cs="Times New Roman"/>
    </w:rPr>
  </w:style>
  <w:style w:type="character" w:customStyle="1" w:styleId="alt-edited1">
    <w:name w:val="alt-edited1"/>
    <w:basedOn w:val="Carpredefinitoparagrafo"/>
    <w:uiPriority w:val="99"/>
    <w:rsid w:val="002B1E64"/>
    <w:rPr>
      <w:rFonts w:cs="Times New Roman"/>
      <w:color w:val="4D90F0"/>
    </w:rPr>
  </w:style>
  <w:style w:type="character" w:styleId="Collegamentoipertestuale">
    <w:name w:val="Hyperlink"/>
    <w:basedOn w:val="Carpredefinitoparagrafo"/>
    <w:uiPriority w:val="99"/>
    <w:rsid w:val="002B1E64"/>
    <w:rPr>
      <w:rFonts w:ascii="Times New Roman" w:hAnsi="Times New Roman" w:cs="Times New Roman"/>
      <w:color w:val="0563C1"/>
      <w:u w:val="single"/>
    </w:rPr>
  </w:style>
  <w:style w:type="paragraph" w:styleId="Pidipagina">
    <w:name w:val="footer"/>
    <w:basedOn w:val="Normale"/>
    <w:link w:val="PidipaginaCarattere"/>
    <w:uiPriority w:val="99"/>
    <w:rsid w:val="002B1E64"/>
    <w:pPr>
      <w:tabs>
        <w:tab w:val="center" w:pos="4819"/>
        <w:tab w:val="right" w:pos="9638"/>
      </w:tabs>
    </w:pPr>
  </w:style>
  <w:style w:type="character" w:customStyle="1" w:styleId="PidipaginaCarattere">
    <w:name w:val="Piè di pagina Carattere"/>
    <w:basedOn w:val="Carpredefinitoparagrafo"/>
    <w:link w:val="Pidipagina"/>
    <w:uiPriority w:val="99"/>
    <w:locked/>
    <w:rsid w:val="002B1E64"/>
    <w:rPr>
      <w:rFonts w:ascii="Calibri" w:hAnsi="Calibri" w:cs="Times New Roman"/>
      <w:lang w:val="en-US"/>
    </w:rPr>
  </w:style>
  <w:style w:type="character" w:styleId="Numeropagina">
    <w:name w:val="page number"/>
    <w:basedOn w:val="Carpredefinitoparagrafo"/>
    <w:uiPriority w:val="99"/>
    <w:rsid w:val="002B1E64"/>
    <w:rPr>
      <w:rFonts w:cs="Times New Roman"/>
    </w:rPr>
  </w:style>
  <w:style w:type="character" w:styleId="CitazioneHTML">
    <w:name w:val="HTML Cite"/>
    <w:basedOn w:val="Carpredefinitoparagrafo"/>
    <w:uiPriority w:val="99"/>
    <w:semiHidden/>
    <w:rsid w:val="00155AE6"/>
    <w:rPr>
      <w:rFonts w:cs="Times New Roman"/>
      <w:i/>
      <w:iCs/>
    </w:rPr>
  </w:style>
  <w:style w:type="character" w:customStyle="1" w:styleId="notranslate">
    <w:name w:val="notranslate"/>
    <w:uiPriority w:val="99"/>
    <w:rsid w:val="00155AE6"/>
  </w:style>
  <w:style w:type="character" w:styleId="Rimandocommento">
    <w:name w:val="annotation reference"/>
    <w:basedOn w:val="Carpredefinitoparagrafo"/>
    <w:uiPriority w:val="99"/>
    <w:semiHidden/>
    <w:rsid w:val="00DC4112"/>
    <w:rPr>
      <w:rFonts w:cs="Times New Roman"/>
      <w:sz w:val="16"/>
      <w:szCs w:val="16"/>
    </w:rPr>
  </w:style>
  <w:style w:type="paragraph" w:styleId="Testocommento">
    <w:name w:val="annotation text"/>
    <w:basedOn w:val="Normale"/>
    <w:link w:val="TestocommentoCarattere"/>
    <w:uiPriority w:val="99"/>
    <w:semiHidden/>
    <w:rsid w:val="00DC41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DC4112"/>
    <w:rPr>
      <w:rFonts w:ascii="Calibri" w:hAnsi="Calibri" w:cs="Times New Roman"/>
      <w:sz w:val="20"/>
      <w:szCs w:val="20"/>
      <w:lang w:val="en-US"/>
    </w:rPr>
  </w:style>
  <w:style w:type="paragraph" w:styleId="Soggettocommento">
    <w:name w:val="annotation subject"/>
    <w:basedOn w:val="Testocommento"/>
    <w:next w:val="Testocommento"/>
    <w:link w:val="SoggettocommentoCarattere"/>
    <w:uiPriority w:val="99"/>
    <w:semiHidden/>
    <w:rsid w:val="00DC4112"/>
    <w:rPr>
      <w:b/>
      <w:bCs/>
    </w:rPr>
  </w:style>
  <w:style w:type="character" w:customStyle="1" w:styleId="SoggettocommentoCarattere">
    <w:name w:val="Soggetto commento Carattere"/>
    <w:basedOn w:val="TestocommentoCarattere"/>
    <w:link w:val="Soggettocommento"/>
    <w:uiPriority w:val="99"/>
    <w:semiHidden/>
    <w:locked/>
    <w:rsid w:val="00DC4112"/>
    <w:rPr>
      <w:rFonts w:ascii="Calibri" w:hAnsi="Calibri" w:cs="Times New Roman"/>
      <w:b/>
      <w:bCs/>
      <w:sz w:val="20"/>
      <w:szCs w:val="20"/>
      <w:lang w:val="en-US"/>
    </w:rPr>
  </w:style>
  <w:style w:type="paragraph" w:styleId="Testofumetto">
    <w:name w:val="Balloon Text"/>
    <w:basedOn w:val="Normale"/>
    <w:link w:val="TestofumettoCarattere"/>
    <w:uiPriority w:val="99"/>
    <w:semiHidden/>
    <w:rsid w:val="00DC41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C4112"/>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E64"/>
    <w:pPr>
      <w:spacing w:after="160" w:line="259" w:lineRule="auto"/>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2B1E64"/>
    <w:pPr>
      <w:autoSpaceDE w:val="0"/>
      <w:autoSpaceDN w:val="0"/>
      <w:adjustRightInd w:val="0"/>
    </w:pPr>
    <w:rPr>
      <w:rFonts w:ascii="Times New Roman" w:hAnsi="Times New Roman"/>
      <w:color w:val="000000"/>
      <w:sz w:val="24"/>
      <w:szCs w:val="24"/>
      <w:lang w:val="en-US" w:eastAsia="en-US"/>
    </w:rPr>
  </w:style>
  <w:style w:type="paragraph" w:styleId="PreformattatoHTML">
    <w:name w:val="HTML Preformatted"/>
    <w:basedOn w:val="Normale"/>
    <w:link w:val="PreformattatoHTMLCarattere"/>
    <w:uiPriority w:val="99"/>
    <w:rsid w:val="002B1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2B1E64"/>
    <w:rPr>
      <w:rFonts w:ascii="Courier New" w:hAnsi="Courier New" w:cs="Courier New"/>
      <w:sz w:val="20"/>
      <w:szCs w:val="20"/>
      <w:lang w:val="en-US"/>
    </w:rPr>
  </w:style>
  <w:style w:type="paragraph" w:styleId="Corpotesto">
    <w:name w:val="Body Text"/>
    <w:basedOn w:val="Normale"/>
    <w:link w:val="CorpotestoCarattere"/>
    <w:uiPriority w:val="99"/>
    <w:semiHidden/>
    <w:rsid w:val="002B1E64"/>
    <w:pPr>
      <w:spacing w:after="120" w:line="256" w:lineRule="auto"/>
    </w:pPr>
  </w:style>
  <w:style w:type="character" w:customStyle="1" w:styleId="CorpotestoCarattere">
    <w:name w:val="Corpo testo Carattere"/>
    <w:basedOn w:val="Carpredefinitoparagrafo"/>
    <w:link w:val="Corpotesto"/>
    <w:uiPriority w:val="99"/>
    <w:semiHidden/>
    <w:locked/>
    <w:rsid w:val="002B1E64"/>
    <w:rPr>
      <w:rFonts w:ascii="Calibri" w:hAnsi="Calibri" w:cs="Times New Roman"/>
      <w:lang w:val="en-US"/>
    </w:rPr>
  </w:style>
  <w:style w:type="character" w:customStyle="1" w:styleId="shorttext">
    <w:name w:val="short_text"/>
    <w:basedOn w:val="Carpredefinitoparagrafo"/>
    <w:uiPriority w:val="99"/>
    <w:rsid w:val="002B1E64"/>
    <w:rPr>
      <w:rFonts w:cs="Times New Roman"/>
    </w:rPr>
  </w:style>
  <w:style w:type="character" w:customStyle="1" w:styleId="alt-edited1">
    <w:name w:val="alt-edited1"/>
    <w:basedOn w:val="Carpredefinitoparagrafo"/>
    <w:uiPriority w:val="99"/>
    <w:rsid w:val="002B1E64"/>
    <w:rPr>
      <w:rFonts w:cs="Times New Roman"/>
      <w:color w:val="4D90F0"/>
    </w:rPr>
  </w:style>
  <w:style w:type="character" w:styleId="Collegamentoipertestuale">
    <w:name w:val="Hyperlink"/>
    <w:basedOn w:val="Carpredefinitoparagrafo"/>
    <w:uiPriority w:val="99"/>
    <w:rsid w:val="002B1E64"/>
    <w:rPr>
      <w:rFonts w:ascii="Times New Roman" w:hAnsi="Times New Roman" w:cs="Times New Roman"/>
      <w:color w:val="0563C1"/>
      <w:u w:val="single"/>
    </w:rPr>
  </w:style>
  <w:style w:type="paragraph" w:styleId="Pidipagina">
    <w:name w:val="footer"/>
    <w:basedOn w:val="Normale"/>
    <w:link w:val="PidipaginaCarattere"/>
    <w:uiPriority w:val="99"/>
    <w:rsid w:val="002B1E64"/>
    <w:pPr>
      <w:tabs>
        <w:tab w:val="center" w:pos="4819"/>
        <w:tab w:val="right" w:pos="9638"/>
      </w:tabs>
    </w:pPr>
  </w:style>
  <w:style w:type="character" w:customStyle="1" w:styleId="PidipaginaCarattere">
    <w:name w:val="Piè di pagina Carattere"/>
    <w:basedOn w:val="Carpredefinitoparagrafo"/>
    <w:link w:val="Pidipagina"/>
    <w:uiPriority w:val="99"/>
    <w:locked/>
    <w:rsid w:val="002B1E64"/>
    <w:rPr>
      <w:rFonts w:ascii="Calibri" w:hAnsi="Calibri" w:cs="Times New Roman"/>
      <w:lang w:val="en-US"/>
    </w:rPr>
  </w:style>
  <w:style w:type="character" w:styleId="Numeropagina">
    <w:name w:val="page number"/>
    <w:basedOn w:val="Carpredefinitoparagrafo"/>
    <w:uiPriority w:val="99"/>
    <w:rsid w:val="002B1E64"/>
    <w:rPr>
      <w:rFonts w:cs="Times New Roman"/>
    </w:rPr>
  </w:style>
  <w:style w:type="character" w:styleId="CitazioneHTML">
    <w:name w:val="HTML Cite"/>
    <w:basedOn w:val="Carpredefinitoparagrafo"/>
    <w:uiPriority w:val="99"/>
    <w:semiHidden/>
    <w:rsid w:val="00155AE6"/>
    <w:rPr>
      <w:rFonts w:cs="Times New Roman"/>
      <w:i/>
      <w:iCs/>
    </w:rPr>
  </w:style>
  <w:style w:type="character" w:customStyle="1" w:styleId="notranslate">
    <w:name w:val="notranslate"/>
    <w:uiPriority w:val="99"/>
    <w:rsid w:val="00155AE6"/>
  </w:style>
  <w:style w:type="character" w:styleId="Rimandocommento">
    <w:name w:val="annotation reference"/>
    <w:basedOn w:val="Carpredefinitoparagrafo"/>
    <w:uiPriority w:val="99"/>
    <w:semiHidden/>
    <w:rsid w:val="00DC4112"/>
    <w:rPr>
      <w:rFonts w:cs="Times New Roman"/>
      <w:sz w:val="16"/>
      <w:szCs w:val="16"/>
    </w:rPr>
  </w:style>
  <w:style w:type="paragraph" w:styleId="Testocommento">
    <w:name w:val="annotation text"/>
    <w:basedOn w:val="Normale"/>
    <w:link w:val="TestocommentoCarattere"/>
    <w:uiPriority w:val="99"/>
    <w:semiHidden/>
    <w:rsid w:val="00DC41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DC4112"/>
    <w:rPr>
      <w:rFonts w:ascii="Calibri" w:hAnsi="Calibri" w:cs="Times New Roman"/>
      <w:sz w:val="20"/>
      <w:szCs w:val="20"/>
      <w:lang w:val="en-US"/>
    </w:rPr>
  </w:style>
  <w:style w:type="paragraph" w:styleId="Soggettocommento">
    <w:name w:val="annotation subject"/>
    <w:basedOn w:val="Testocommento"/>
    <w:next w:val="Testocommento"/>
    <w:link w:val="SoggettocommentoCarattere"/>
    <w:uiPriority w:val="99"/>
    <w:semiHidden/>
    <w:rsid w:val="00DC4112"/>
    <w:rPr>
      <w:b/>
      <w:bCs/>
    </w:rPr>
  </w:style>
  <w:style w:type="character" w:customStyle="1" w:styleId="SoggettocommentoCarattere">
    <w:name w:val="Soggetto commento Carattere"/>
    <w:basedOn w:val="TestocommentoCarattere"/>
    <w:link w:val="Soggettocommento"/>
    <w:uiPriority w:val="99"/>
    <w:semiHidden/>
    <w:locked/>
    <w:rsid w:val="00DC4112"/>
    <w:rPr>
      <w:rFonts w:ascii="Calibri" w:hAnsi="Calibri" w:cs="Times New Roman"/>
      <w:b/>
      <w:bCs/>
      <w:sz w:val="20"/>
      <w:szCs w:val="20"/>
      <w:lang w:val="en-US"/>
    </w:rPr>
  </w:style>
  <w:style w:type="paragraph" w:styleId="Testofumetto">
    <w:name w:val="Balloon Text"/>
    <w:basedOn w:val="Normale"/>
    <w:link w:val="TestofumettoCarattere"/>
    <w:uiPriority w:val="99"/>
    <w:semiHidden/>
    <w:rsid w:val="00DC41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C411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hyperlink" Target="https://www.oxfam.org/sites/www.oxfam.org/files/file_attachments/bp210-economy-one-percent-tax-havens-180116-en_0.pdf" TargetMode="External"/><Relationship Id="rId50"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yperlink" Target="http://www" TargetMode="Externa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hyperlink" Target="https://eml.berkeley.edu/~saez/Piketty-Saez-ZucmanNBER16.pdf" TargetMode="External"/><Relationship Id="rId8" Type="http://schemas.openxmlformats.org/officeDocument/2006/relationships/oleObject" Target="embeddings/oleObject1.bin"/><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9115</Words>
  <Characters>51960</Characters>
  <Application>Microsoft Office Word</Application>
  <DocSecurity>0</DocSecurity>
  <Lines>433</Lines>
  <Paragraphs>121</Paragraphs>
  <ScaleCrop>false</ScaleCrop>
  <Company/>
  <LinksUpToDate>false</LinksUpToDate>
  <CharactersWithSpaces>60954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the link between functional and personal income distribution enhance the analysis of inequality</dc:title>
  <dc:creator>Renata Targetti Lenti</dc:creator>
  <cp:lastModifiedBy>Utente Windows</cp:lastModifiedBy>
  <cp:revision>2</cp:revision>
  <cp:lastPrinted>2017-10-09T06:56:00Z</cp:lastPrinted>
  <dcterms:created xsi:type="dcterms:W3CDTF">2017-10-11T14:22:00Z</dcterms:created>
  <dcterms:modified xsi:type="dcterms:W3CDTF">2017-10-11T14:22:00Z</dcterms:modified>
</cp:coreProperties>
</file>